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4: Agriculture &amp; Demographics - A Comprehensive Macroeconomic Analysis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Introduction: The Dual Engines of the Indian Economy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foundation of the Indian macroeconomy is uniquely defined by the complex, symbiotic interplay between its vast demographic base and its expansive agricultural sector. As the Indian economy navigates its transition toward a high-growth, developed matrix, an empirical understanding of its agrarian landscape and population dynamics is indispensable for rigorous economic planning, fiscal policy formulation, and competitive macroeconomic analysis. This comprehensive dossier provides an exhaustive, data-rich compilation of the Indian Economy's agricultural and demographic contours, grounded strictly in the latest official datasets, including the Union Budget 2024-25, the Economic Survey 2023-24 (and subsequent macroeconomic estimates for 2024-25 and 2025-26), the Agricultural Census, and the Decennial Population Census of 2011.</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agricultural sector, encompassing crop production and high-value allied activities, continues to represent the backbone of rural livelihoods. The sector absorbs approximately 46.1% of the national workforce, reinforcing its socio-economic centrality even as India's broader economy diversifies.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Concurrently, the sector contributes approximately 16% to the Gross Domestic Product (GDP) for the financial year 2023-24 (Provisional Estimates) at current prices, with the broader agriculture and allied sector accounting for roughly one-fifth of the national income across recent fiscal cycles.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demographic profile of the nation, characterized by a massive population base with intricate gender, spatial, and educational dynamics, dictates the labor supply, domestic consumption patterns, and human capital formation necessary for sustained economic expansion. This analysis systematically deconstructs these two critical modules, offering exact numerical benchmarks, chronological trends, and nuanced systemic observations vital for advanced economic discourse.</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Macroeconomic Overview of the Agricultural Sector</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performance of the agricultural sector over the past decade reflects a profound transition from traditional, subsistence-based farming to a more diversified, resilience-oriented, and technology-integrated production system. This structural shift is critical for ensuring food security, stabilizing rural incomes, and maintaining macroeconomic stability through inflation management.</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Growth Trajectories and Sectoral Contribution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Over the last five years, the agriculture and allied sector has demonstrated remarkable stability, recording an average annual growth rate of approximately 4.2% to 4.4% at constant prices.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sustained growth represents the highest decadal average (FY16 to FY25) compared to previous decades, underlining the sector's resilience against global supply chain distortions and climatic anomalies.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While the sector grew at a robust rate of 4.7% in 2022-23, it recorded a moderated growth rate of 1.4% in 2023-24 due to intermittent weather shocks, before rebounding significantly.</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The Economic Survey highlights that in the second quarter of the financial year 2025-26, the agriculture sector registered a strong growth rate of 3.5%, reflecting its inherent strength.</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At the state level, agrarian performance exhibits significant regional dynamism. For instance, the agricultural and allied activities sector contributed an impressive 19.6% to the state economy of Odisha in 2025-26, markedly higher than the national average share.</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This regional outperformance is driven by expanded procurement frameworks, targeted Minimum Support Price (MSP) disbursements, and localized crop diversification strategies.</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Inflation Dynamics and Rural Demand</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macroeconomic implications of agricultural output extend directly into monetary policy and inflation targeting. The Economic Survey details that rural inflation temporarily exceeded urban inflation during the 2023-24 fiscal cycle primarily due to heightened sensitivity to food prices.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However, a definitive disinflationary trend in the food sector is anticipated, which is projected to drive rural inflation below urban levels, leading to a convergence of core inflation across geographies and indicating similar underlying demand conditions.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State-level inflation largely converged within the Reserve Bank of India's (RBI) 2% to 6% tolerance band, with only localized exceptions such as Kerala and Lakshadweep breaching the upper limit due to specific state-level price movements and higher wage growth.</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 robust rebound in agricultural production, coupled with anticipated food disinflation and a stable macroeconomic environment, provides a significant upside to near-term national growth.</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Rural demand, fortified by agricultural liquidity, acts as a primary catalyst for domestic investment and manufacturing expansion.</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Foodgrain Production: Output, Estimates, and Chronologies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India has achieved unprecedented milestones in foodgrain production, solidifying its status not merely as a self-reliant nation but as a dominant global agricultural producer. The transition in output over the past decade highlights the success of structural policies, targeted subsidies, and enhanced procurement mechanisms.</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Aggregate Production Statistics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chronological trajectory of India's foodgrain output demonstrates a consistent, secular upward trend. The total foodgrain production surged by approximately 106 million tonnes over the past decade, rising from a baseline of 251.54 million tonnes in the 2015-16 cycle to record-breaking current estimates.</w:t>
      </w:r>
      <w:r w:rsidDel="00000000" w:rsidR="00000000" w:rsidRPr="00000000">
        <w:rPr>
          <w:rFonts w:ascii="Google Sans" w:cs="Google Sans" w:eastAsia="Google Sans" w:hAnsi="Google Sans"/>
          <w:color w:val="444746"/>
          <w:sz w:val="24"/>
          <w:szCs w:val="24"/>
          <w:vertAlign w:val="superscript"/>
          <w:rtl w:val="0"/>
        </w:rPr>
        <w:t xml:space="preserve">8</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Finalized Data for 2023-24:</w:t>
      </w:r>
      <w:r w:rsidDel="00000000" w:rsidR="00000000" w:rsidRPr="00000000">
        <w:rPr>
          <w:rFonts w:ascii="Google Sans" w:cs="Google Sans" w:eastAsia="Google Sans" w:hAnsi="Google Sans"/>
          <w:color w:val="1f1f1f"/>
          <w:rtl w:val="0"/>
        </w:rPr>
        <w:t xml:space="preserve"> As per the final estimates for the 2023-24 agricultural cycle, total foodgrain production in the country stood at a record </w:t>
      </w:r>
      <w:r w:rsidDel="00000000" w:rsidR="00000000" w:rsidRPr="00000000">
        <w:rPr>
          <w:rFonts w:ascii="Google Sans" w:cs="Google Sans" w:eastAsia="Google Sans" w:hAnsi="Google Sans"/>
          <w:b w:val="1"/>
          <w:bCs w:val="1"/>
          <w:color w:val="1f1f1f"/>
          <w:rtl w:val="0"/>
        </w:rPr>
        <w:t xml:space="preserve">332.29 million tonnes</w:t>
      </w:r>
      <w:r w:rsidDel="00000000" w:rsidR="00000000" w:rsidRPr="00000000">
        <w:rPr>
          <w:rFonts w:ascii="Google Sans" w:cs="Google Sans" w:eastAsia="Google Sans" w:hAnsi="Google Sans"/>
          <w:color w:val="1f1f1f"/>
          <w:rtl w:val="0"/>
        </w:rPr>
        <w:t xml:space="preserve"> (or 3,322.98 Lakh Metric Tonnes).</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This finalized figure was higher by 26.11 Lakh tonnes compared to the 3,296.87 Lakh tonnes achieved during the preceding 2022-23 cycle, and a substantial 245.46 Lakh tonnes higher than the average production of the previous five years.</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Estimates for the Latest Available Financial Year (2024-25):</w:t>
      </w:r>
      <w:r w:rsidDel="00000000" w:rsidR="00000000" w:rsidRPr="00000000">
        <w:rPr>
          <w:rFonts w:ascii="Google Sans" w:cs="Google Sans" w:eastAsia="Google Sans" w:hAnsi="Google Sans"/>
          <w:color w:val="1f1f1f"/>
          <w:rtl w:val="0"/>
        </w:rPr>
        <w:t xml:space="preserve"> For the latest available Agriculture Year (AY) 2024-25, India's approximate total foodgrain production is estimated to have reached an unprecedented absolute peak of </w:t>
      </w:r>
      <w:r w:rsidDel="00000000" w:rsidR="00000000" w:rsidRPr="00000000">
        <w:rPr>
          <w:rFonts w:ascii="Google Sans" w:cs="Google Sans" w:eastAsia="Google Sans" w:hAnsi="Google Sans"/>
          <w:b w:val="1"/>
          <w:bCs w:val="1"/>
          <w:color w:val="1f1f1f"/>
          <w:rtl w:val="0"/>
        </w:rPr>
        <w:t xml:space="preserve">357.73 million tonnes</w:t>
      </w:r>
      <w:r w:rsidDel="00000000" w:rsidR="00000000" w:rsidRPr="00000000">
        <w:rPr>
          <w:rFonts w:ascii="Google Sans" w:cs="Google Sans" w:eastAsia="Google Sans" w:hAnsi="Google Sans"/>
          <w:color w:val="1f1f1f"/>
          <w:rtl w:val="0"/>
        </w:rPr>
        <w:t xml:space="preserve"> (3,577.3 Lakh Metric Tonnes).</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This revised estimate signifies a massive aggregate increase of 25.43 million tonnes (254.3 LMT) over the previous year, translating to a year-on-year overall growth rate of 7.65%.</w:t>
      </w:r>
      <w:r w:rsidDel="00000000" w:rsidR="00000000" w:rsidRPr="00000000">
        <w:rPr>
          <w:rFonts w:ascii="Google Sans" w:cs="Google Sans" w:eastAsia="Google Sans" w:hAnsi="Google Sans"/>
          <w:color w:val="444746"/>
          <w:sz w:val="24"/>
          <w:szCs w:val="24"/>
          <w:vertAlign w:val="superscript"/>
          <w:rtl w:val="0"/>
        </w:rPr>
        <w:t xml:space="preserve">8</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Future Production Targets (2025-26):</w:t>
      </w:r>
      <w:r w:rsidDel="00000000" w:rsidR="00000000" w:rsidRPr="00000000">
        <w:rPr>
          <w:rFonts w:ascii="Google Sans" w:cs="Google Sans" w:eastAsia="Google Sans" w:hAnsi="Google Sans"/>
          <w:color w:val="1f1f1f"/>
          <w:rtl w:val="0"/>
        </w:rPr>
        <w:t xml:space="preserve"> Building upon this momentum, the national macroeconomic framework has established an ambitious total foodgrain production target of </w:t>
      </w:r>
      <w:r w:rsidDel="00000000" w:rsidR="00000000" w:rsidRPr="00000000">
        <w:rPr>
          <w:rFonts w:ascii="Google Sans" w:cs="Google Sans" w:eastAsia="Google Sans" w:hAnsi="Google Sans"/>
          <w:b w:val="1"/>
          <w:bCs w:val="1"/>
          <w:color w:val="1f1f1f"/>
          <w:rtl w:val="0"/>
        </w:rPr>
        <w:t xml:space="preserve">362.5 million tonnes</w:t>
      </w:r>
      <w:r w:rsidDel="00000000" w:rsidR="00000000" w:rsidRPr="00000000">
        <w:rPr>
          <w:rFonts w:ascii="Google Sans" w:cs="Google Sans" w:eastAsia="Google Sans" w:hAnsi="Google Sans"/>
          <w:color w:val="1f1f1f"/>
          <w:rtl w:val="0"/>
        </w:rPr>
        <w:t xml:space="preserve"> for the 2025-26 cycle, underpinned by confirmed surplus seed availability and expanded agricultural infrastructure.</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Crop-Specific Production Dynamics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overarching growth in the 2024-25 cycle was driven by synchronized record outputs across multiple staple and commercial crops. Four major crops—rice, wheat, soybean, and groundnut—achieved their highest-ever production levels simultaneously.</w:t>
      </w:r>
      <w:r w:rsidDel="00000000" w:rsidR="00000000" w:rsidRPr="00000000">
        <w:rPr>
          <w:rFonts w:ascii="Google Sans" w:cs="Google Sans" w:eastAsia="Google Sans" w:hAnsi="Google Sans"/>
          <w:color w:val="444746"/>
          <w:sz w:val="24"/>
          <w:szCs w:val="24"/>
          <w:vertAlign w:val="superscript"/>
          <w:rtl w:val="0"/>
        </w:rPr>
        <w:t xml:space="preserve">8</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breakdown of crop-specific production estimates for the 2024-25 cycle is detailed systematically below.</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Crop Classification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2023-24 Production (Finalized)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2024-25 Production (Estimate)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Analytical Observations &amp; Growth Metrics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Total Foodgrains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332.29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357.73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Represents a 7.65% year-on-year increase; driven by systemic policy interventions and favorable monsoons. </w:t>
            </w:r>
            <w:r w:rsidDel="00000000" w:rsidR="00000000" w:rsidRPr="00000000">
              <w:rPr>
                <w:rFonts w:ascii="Google Sans" w:cs="Google Sans" w:eastAsia="Google Sans" w:hAnsi="Google Sans"/>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Rice (Total Aggregate)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137.82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150.18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Reached a historical record; output expanded by an absolute 12.35 million tonnes over the preceding year. </w:t>
            </w:r>
            <w:r w:rsidDel="00000000" w:rsidR="00000000" w:rsidRPr="00000000">
              <w:rPr>
                <w:rFonts w:ascii="Google Sans" w:cs="Google Sans" w:eastAsia="Google Sans" w:hAnsi="Google Sans"/>
                <w:color w:val="444746"/>
                <w:sz w:val="24"/>
                <w:szCs w:val="24"/>
                <w:vertAlign w:val="superscript"/>
                <w:rtl w:val="0"/>
              </w:rPr>
              <w:t xml:space="preserve">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Rice (Kharif Season Only)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113.25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122.77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Kharif component specifically marked an 8.39% volume increase. </w:t>
            </w:r>
            <w:r w:rsidDel="00000000" w:rsidR="00000000" w:rsidRPr="00000000">
              <w:rPr>
                <w:rFonts w:ascii="Google Sans" w:cs="Google Sans" w:eastAsia="Google Sans" w:hAnsi="Google Sans"/>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Wheat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Data subsumed in aggregate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117.94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Achieved the highest-ever production quantum for the cereal. </w:t>
            </w:r>
            <w:r w:rsidDel="00000000" w:rsidR="00000000" w:rsidRPr="00000000">
              <w:rPr>
                <w:rFonts w:ascii="Google Sans" w:cs="Google Sans" w:eastAsia="Google Sans" w:hAnsi="Google Sans"/>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Soybean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Data subsumed in aggregate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15.26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Recorded peak commercial output, supporting the domestic edible oil ecosystem. </w:t>
            </w:r>
            <w:r w:rsidDel="00000000" w:rsidR="00000000" w:rsidRPr="00000000">
              <w:rPr>
                <w:rFonts w:ascii="Google Sans" w:cs="Google Sans" w:eastAsia="Google Sans" w:hAnsi="Google Sans"/>
                <w:color w:val="444746"/>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Groundnut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Data subsumed in aggregate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11.90 Million Tonnes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Reached maximum historical output levels. </w:t>
            </w:r>
            <w:r w:rsidDel="00000000" w:rsidR="00000000" w:rsidRPr="00000000">
              <w:rPr>
                <w:rFonts w:ascii="Google Sans" w:cs="Google Sans" w:eastAsia="Google Sans" w:hAnsi="Google Sans"/>
                <w:color w:val="444746"/>
                <w:sz w:val="24"/>
                <w:szCs w:val="24"/>
                <w:vertAlign w:val="superscript"/>
                <w:rtl w:val="0"/>
              </w:rPr>
              <w:t xml:space="preserve">8</w:t>
            </w:r>
          </w:p>
        </w:tc>
      </w:tr>
    </w:tbl>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Kharif season represents a vital component of the annual agricultural calendar. For the 2024-25 cycle, the total Kharif foodgrain production, as per the First Advance Estimates, is projected at 1,647.05 Lakh Metric Tonnes (LMT).</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This projection is higher by 89.37 LMT compared to the previous year's Kharif output, and 124.59 LMT higher than the average Kharif foodgrain production of recent years.</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This specific seasonal surge is attributed largely to robust yields in rice, jowar, and maize.</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 Crop Diversification and Policy Interventions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 deeper analysis of the production data reveals a strategic shift toward crop diversification, essential for long-term ecological sustainability and nutritional security. The record foodgrain production was fundamentally supported by an enhanced output of coarse cereals, maize, and 'Shree Anna' (millets).</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National maize yields have exhibited remarkable improvement, increasing significantly from 2.56 tonnes per hectare in FY16 to approximately 3.78 tonnes per hectare by FY25.</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 This yield enhancement complements traditional staples, builds climate resilience, and supports the burgeoning poultry and livestock feed industries.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 catalyze further diversification and reduce dependency on imports, the fiscal policy architecture has leveraged the Minimum Support Price (MSP) mechanism aggressively. For the fiscal year 2024-25, the MSP for crucial crops such as Arhar and Bajra was increased substantially by 59 percent and 77 percent respectively over their weighted average cost of production.</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Concurrently, the operationalization of the 'Self-Reliance in Pulses Mission' is expected to structurally boost domestic pulse production, thereby mitigating imported inflation in the protein segment.</w:t>
      </w:r>
      <w:r w:rsidDel="00000000" w:rsidR="00000000" w:rsidRPr="00000000">
        <w:rPr>
          <w:rFonts w:ascii="Google Sans" w:cs="Google Sans" w:eastAsia="Google Sans" w:hAnsi="Google Sans"/>
          <w:color w:val="444746"/>
          <w:sz w:val="24"/>
          <w:szCs w:val="24"/>
          <w:vertAlign w:val="superscript"/>
          <w:rtl w:val="0"/>
        </w:rPr>
        <w:t xml:space="preserve">8</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State-level execution of these policies remains pivotal. In 2024-25, the state of Odisha alone procured 92.6 lakh metric tonnes of paddy from approximately 20 lakh farmers, injecting a massive Rs 21,300 crore directly as MSP payments and an additional Rs 7,140 crore as input subsidies, thereby driving deep rural liquidity.</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Furthermore, the Union Budget 2024-25 allocated a substantial INR 1.63 lakh crore for the agriculture sector, emphasizing the government's commitment to upgrading farm practices, integrating digital public infrastructure like the AI-enabled Bharat VISTAAR platform, and dedicated programs for high-value crops including coconut, cashew, cocoa, and sandalwood.</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The Structural Shift: The Ascendancy of Allied Sectors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 defining characteristic of India's contemporary agricultural economy is the divergence in growth rates between traditional crop cultivation and high-value allied activities. Sectoral growth over the past decade has been driven predominantly by these allied sectors, which offer superior value addition and act as shock absorbers against crop failures.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Economic Survey data indicates that while traditional crop growth averaged around 3.5%, allied sectors such as livestock and fisheries expanded at vastly accelerated trajectories.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Livestock:</w:t>
      </w:r>
      <w:r w:rsidDel="00000000" w:rsidR="00000000" w:rsidRPr="00000000">
        <w:rPr>
          <w:rFonts w:ascii="Google Sans" w:cs="Google Sans" w:eastAsia="Google Sans" w:hAnsi="Google Sans"/>
          <w:color w:val="1f1f1f"/>
          <w:rtl w:val="0"/>
        </w:rPr>
        <w:t xml:space="preserve"> The livestock sub-sector has emerged as an independent economic powerhouse. Livestock Gross Value Added (GVA) expanded by a staggering 195% between FY15 and FY24, achieving a Compound Annual Growth Rate (CAGR) of 12.8% at current prices.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sector recorded a consistent robust average growth of 7.1%.</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India currently ranks first globally in milk production, third in egg production, and eighth in meat production.</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The dairy sector alone acts as a critical economic lifeline, directly employing over eight crore farmers.</w:t>
      </w:r>
      <w:r w:rsidDel="00000000" w:rsidR="00000000" w:rsidRPr="00000000">
        <w:rPr>
          <w:rFonts w:ascii="Google Sans" w:cs="Google Sans" w:eastAsia="Google Sans" w:hAnsi="Google Sans"/>
          <w:color w:val="444746"/>
          <w:sz w:val="24"/>
          <w:szCs w:val="24"/>
          <w:vertAlign w:val="superscript"/>
          <w:rtl w:val="0"/>
        </w:rPr>
        <w:t xml:space="preserve">13</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Fisheries and Aquaculture:</w:t>
      </w:r>
      <w:r w:rsidDel="00000000" w:rsidR="00000000" w:rsidRPr="00000000">
        <w:rPr>
          <w:rFonts w:ascii="Google Sans" w:cs="Google Sans" w:eastAsia="Google Sans" w:hAnsi="Google Sans"/>
          <w:color w:val="1f1f1f"/>
          <w:rtl w:val="0"/>
        </w:rPr>
        <w:t xml:space="preserve"> The fisheries sector has mirrored this explosive growth, recording an average annual growth rate of approximately 7% since 2016-17.</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Overall fish production rose by over 140% during the 2014-2025 period, fundamentally outperforming baseline crop growth (8.8% growth rate) and capturing a 6.7% share of the total agricultural GVA.</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Horticulture:</w:t>
      </w:r>
      <w:r w:rsidDel="00000000" w:rsidR="00000000" w:rsidRPr="00000000">
        <w:rPr>
          <w:rFonts w:ascii="Google Sans" w:cs="Google Sans" w:eastAsia="Google Sans" w:hAnsi="Google Sans"/>
          <w:color w:val="1f1f1f"/>
          <w:rtl w:val="0"/>
        </w:rPr>
        <w:t xml:space="preserve"> Horticulture has evolved into a primary value driver, contributing approximately 33% of the total agricultural GVA.</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structural diversification within the sector is economically vital. As operational landholdings fragment, allied activities provide a highly elastic, non-land-dependent revenue stream that stabilizes household incomes, thereby elevating the economic resilience of the marginal farmer.</w:t>
      </w:r>
    </w:p>
    <w:p w:rsidR="00000000" w:rsidDel="00000000" w:rsidP="00000000" w:rsidRDefault="00000000" w:rsidRPr="00000000" w14:paraId="00000040">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Land Economics: The Structural Profile of Indian Landholdings</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 nuanced, quantitative understanding of India's agricultural potential necessitates a thorough examination of its landholding structure. The Agricultural Census, conducted on a quinquennial basis, serves as the definitive empirical source for this analysis. The data presented herein utilizes the finalized results of the 2015-16 Agricultural Census (the latest comprehensively tabulated iteration, as the 11th Census is currently underway).</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5.1 The Concept of the Operational Holding</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foundational methodology of the Agricultural Census diverges from standard revenue record-keeping. While revenue records focus on land ownership—which illustrates wealth distribution and asset inheritance—the Agricultural Census utilizes the </w:t>
      </w:r>
      <w:r w:rsidDel="00000000" w:rsidR="00000000" w:rsidRPr="00000000">
        <w:rPr>
          <w:rFonts w:ascii="Google Sans" w:cs="Google Sans" w:eastAsia="Google Sans" w:hAnsi="Google Sans"/>
          <w:b w:val="1"/>
          <w:bCs w:val="1"/>
          <w:color w:val="1f1f1f"/>
          <w:rtl w:val="0"/>
        </w:rPr>
        <w:t xml:space="preserve">"Operational Holding"</w:t>
      </w:r>
      <w:r w:rsidDel="00000000" w:rsidR="00000000" w:rsidRPr="00000000">
        <w:rPr>
          <w:rFonts w:ascii="Google Sans" w:cs="Google Sans" w:eastAsia="Google Sans" w:hAnsi="Google Sans"/>
          <w:color w:val="1f1f1f"/>
          <w:rtl w:val="0"/>
        </w:rPr>
        <w:t xml:space="preserve"> as its primary statistical unit.</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An operational holding is strictly defined as all land which is used wholly or partly for agricultural production and is operated as one technical unit by one person (either alone or jointly with others), irrespective of title, legal form, size, or physical location.</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A "technical unit" implies a cohesive operational entity under the same management, sharing common means of production such as labor force, machinery, and draft animals.</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distinction is of paramount importance for agricultural policy formulation. The operational holder is the actual economic agent making critical decisions regarding crop selection, fertilizer application, irrigation utilization, and technological adoption, regardless of whether they hold formal title to the land.</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The Indian methodological concept specifically includes the cultivation of field crops, fruits, seeds, vegetables, plantation crops, fodder, and specialized grass, but excludes forest tree nurseries.</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5.2 Classification of Landholdings: Exact Hectare Brackets</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systematically analyze the agrarian structure, the Agricultural Census categorizes operational holdings into five distinct primary size classes based on exact hectare brackets. These delineations are essential for the targeted deployment of agricultural subsidies, machinery distribution, and structural planning.</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Primary Category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Exact Size-Class Bracket (in Hectares)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Sub-Classifications utilized for deep granular analysis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Marginal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Below 1.00 hectare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Below 0.5 ha; 0.5 to less than 1.0 ha </w:t>
            </w:r>
            <w:r w:rsidDel="00000000" w:rsidR="00000000" w:rsidRPr="00000000">
              <w:rPr>
                <w:rFonts w:ascii="Google Sans" w:cs="Google Sans" w:eastAsia="Google Sans" w:hAnsi="Google Sans"/>
                <w:color w:val="444746"/>
                <w:sz w:val="24"/>
                <w:szCs w:val="24"/>
                <w:vertAlign w:val="superscript"/>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Small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1.00 to less than 2.00 hectares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N/A </w:t>
            </w:r>
            <w:r w:rsidDel="00000000" w:rsidR="00000000" w:rsidRPr="00000000">
              <w:rPr>
                <w:rFonts w:ascii="Google Sans" w:cs="Google Sans" w:eastAsia="Google Sans" w:hAnsi="Google Sans"/>
                <w:color w:val="444746"/>
                <w:sz w:val="24"/>
                <w:szCs w:val="24"/>
                <w:vertAlign w:val="superscript"/>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Semi-Medium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2.00 to less than 4.00 hectares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2.0 to less than 3.0 ha; 3.0 to less than 4.0 ha </w:t>
            </w:r>
            <w:r w:rsidDel="00000000" w:rsidR="00000000" w:rsidRPr="00000000">
              <w:rPr>
                <w:rFonts w:ascii="Google Sans" w:cs="Google Sans" w:eastAsia="Google Sans" w:hAnsi="Google Sans"/>
                <w:color w:val="444746"/>
                <w:sz w:val="24"/>
                <w:szCs w:val="24"/>
                <w:vertAlign w:val="superscript"/>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Medium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4.00 to less than 10.00 hectares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4.0 to less than 5.0 ha; 5.0 to less than 7.5 ha; 7.5 to less than 10.0 ha </w:t>
            </w:r>
            <w:r w:rsidDel="00000000" w:rsidR="00000000" w:rsidRPr="00000000">
              <w:rPr>
                <w:rFonts w:ascii="Google Sans" w:cs="Google Sans" w:eastAsia="Google Sans" w:hAnsi="Google Sans"/>
                <w:color w:val="444746"/>
                <w:sz w:val="24"/>
                <w:szCs w:val="24"/>
                <w:vertAlign w:val="superscript"/>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Large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10.00 hectares and above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10.0 to less than 20.0 ha; 20.0 ha and above </w:t>
            </w:r>
            <w:r w:rsidDel="00000000" w:rsidR="00000000" w:rsidRPr="00000000">
              <w:rPr>
                <w:rFonts w:ascii="Google Sans" w:cs="Google Sans" w:eastAsia="Google Sans" w:hAnsi="Google Sans"/>
                <w:color w:val="444746"/>
                <w:sz w:val="24"/>
                <w:szCs w:val="24"/>
                <w:vertAlign w:val="superscript"/>
                <w:rtl w:val="0"/>
              </w:rPr>
              <w:t xml:space="preserve">15</w:t>
            </w:r>
          </w:p>
        </w:tc>
      </w:tr>
    </w:tbl>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5.3 Land Fragmentation Trends and Operational Constraints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empirical data extracted from the Agricultural Census highlights a severe and progressive atomization of land ownership. This hyper-fragmentation presents one of the most profound structural constraints on scaling Indian agriculture.</w:t>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Expansion in Absolute Holdings:</w:t>
      </w:r>
      <w:r w:rsidDel="00000000" w:rsidR="00000000" w:rsidRPr="00000000">
        <w:rPr>
          <w:rFonts w:ascii="Google Sans" w:cs="Google Sans" w:eastAsia="Google Sans" w:hAnsi="Google Sans"/>
          <w:color w:val="1f1f1f"/>
          <w:rtl w:val="0"/>
        </w:rPr>
        <w:t xml:space="preserve"> The total number of operational holdings across the country increased by 5.86%, rising from 138.35 million in the 2010-11 census cycle to 146.45 million in 2015-16.</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Contraction of Operated Area:</w:t>
      </w:r>
      <w:r w:rsidDel="00000000" w:rsidR="00000000" w:rsidRPr="00000000">
        <w:rPr>
          <w:rFonts w:ascii="Google Sans" w:cs="Google Sans" w:eastAsia="Google Sans" w:hAnsi="Google Sans"/>
          <w:color w:val="1f1f1f"/>
          <w:rtl w:val="0"/>
        </w:rPr>
        <w:t xml:space="preserve"> Inversely, the total operated area contracted marginally. It decreased by 1.11%, falling from 159.59 million hectares in 2010-11 to 157.82 million hectares in 2015-16.</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5F">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Decline in Average Size:</w:t>
      </w:r>
      <w:r w:rsidDel="00000000" w:rsidR="00000000" w:rsidRPr="00000000">
        <w:rPr>
          <w:rFonts w:ascii="Google Sans" w:cs="Google Sans" w:eastAsia="Google Sans" w:hAnsi="Google Sans"/>
          <w:color w:val="1f1f1f"/>
          <w:rtl w:val="0"/>
        </w:rPr>
        <w:t xml:space="preserve"> The convergence of a proliferating number of holdings upon a diminishing land base mathematically forces a reduction in scale. The national average size of an operational holding declined from 1.15 hectares to a mere </w:t>
      </w:r>
      <w:r w:rsidDel="00000000" w:rsidR="00000000" w:rsidRPr="00000000">
        <w:rPr>
          <w:rFonts w:ascii="Google Sans" w:cs="Google Sans" w:eastAsia="Google Sans" w:hAnsi="Google Sans"/>
          <w:b w:val="1"/>
          <w:bCs w:val="1"/>
          <w:color w:val="1f1f1f"/>
          <w:rtl w:val="0"/>
        </w:rPr>
        <w:t xml:space="preserve">1.08 hectares</w:t>
      </w:r>
      <w:r w:rsidDel="00000000" w:rsidR="00000000" w:rsidRPr="00000000">
        <w:rPr>
          <w:rFonts w:ascii="Google Sans" w:cs="Google Sans" w:eastAsia="Google Sans" w:hAnsi="Google Sans"/>
          <w:color w:val="1f1f1f"/>
          <w:rtl w:val="0"/>
        </w:rPr>
        <w:t xml:space="preserve"> in 2015-16.</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This average varies dramatically by state; for instance, Rajasthan maintains a comparatively larger average of 2.73 hectares, while states like Kerala, Tripura (0.49 ha), and Bihar face extreme micro-fragmentation.</w:t>
      </w:r>
      <w:r w:rsidDel="00000000" w:rsidR="00000000" w:rsidRPr="00000000">
        <w:rPr>
          <w:rFonts w:ascii="Google Sans" w:cs="Google Sans" w:eastAsia="Google Sans" w:hAnsi="Google Sans"/>
          <w:color w:val="444746"/>
          <w:sz w:val="24"/>
          <w:szCs w:val="24"/>
          <w:vertAlign w:val="superscript"/>
          <w:rtl w:val="0"/>
        </w:rPr>
        <w:t xml:space="preserve">19</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distribution of this operated land remains heavily skewed, demonstrating an inverse relationship between the number of farmers and land control:</w:t>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The Marginalization of the Base:</w:t>
      </w:r>
      <w:r w:rsidDel="00000000" w:rsidR="00000000" w:rsidRPr="00000000">
        <w:rPr>
          <w:rFonts w:ascii="Google Sans" w:cs="Google Sans" w:eastAsia="Google Sans" w:hAnsi="Google Sans"/>
          <w:color w:val="1f1f1f"/>
          <w:rtl w:val="0"/>
        </w:rPr>
        <w:t xml:space="preserve"> Marginal holdings (below 1 hectare) account for an overwhelming 68.5% of all operational holdings.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When combined with Small holdings (17.6%), this demographic represents 86.1% of all Indian farmers.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However, this massive majority controls a disproportionately limited share of the actual operated area. Marginal farmers manage only 24.0% of the land, and Small farmers operate 22.9%.</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The Concentration at the Top:</w:t>
      </w:r>
      <w:r w:rsidDel="00000000" w:rsidR="00000000" w:rsidRPr="00000000">
        <w:rPr>
          <w:rFonts w:ascii="Google Sans" w:cs="Google Sans" w:eastAsia="Google Sans" w:hAnsi="Google Sans"/>
          <w:color w:val="1f1f1f"/>
          <w:rtl w:val="0"/>
        </w:rPr>
        <w:t xml:space="preserve"> Conversely, Large holdings (10.00 hectares and above) constitute a statistically insignificant 0.6% of the total number of holdings.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Yet, this minuscule cohort commands a substantial 9.1% of the total operated area in the country.</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Semi-medium and Medium holdings balance the center, accounting for roughly 44% of the land area combined.</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extreme fragmentation imposes severe macroeconomic bottlenecks. Marginal holdings lack the surface area to justify capital-intensive mechanization, large-scale deep irrigation projects, or advanced technological deployment on an individual basis. Consequently, modern policy increasingly favors aggregation models, such as Farmer Producer Organizations (FPOs), cooperative machinery banks, and digital advisory platforms, to synthetically generate economies of scale without altering underlying land titles.</w:t>
      </w:r>
    </w:p>
    <w:p w:rsidR="00000000" w:rsidDel="00000000" w:rsidP="00000000" w:rsidRDefault="00000000" w:rsidRPr="00000000" w14:paraId="0000006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5.4 The Feminization of the Agrarian Landscape</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 vital demographic intersection within the agricultural ecosystem is the progressive feminization of land management. The 2015-16 Agricultural Census reveals that the percentage share of female operational holders increased from 12.79% in 2010-11 to </w:t>
      </w:r>
      <w:r w:rsidDel="00000000" w:rsidR="00000000" w:rsidRPr="00000000">
        <w:rPr>
          <w:rFonts w:ascii="Google Sans" w:cs="Google Sans" w:eastAsia="Google Sans" w:hAnsi="Google Sans"/>
          <w:b w:val="1"/>
          <w:bCs w:val="1"/>
          <w:color w:val="1f1f1f"/>
          <w:rtl w:val="0"/>
        </w:rPr>
        <w:t xml:space="preserve">13.96%</w:t>
      </w:r>
      <w:r w:rsidDel="00000000" w:rsidR="00000000" w:rsidRPr="00000000">
        <w:rPr>
          <w:rFonts w:ascii="Google Sans" w:cs="Google Sans" w:eastAsia="Google Sans" w:hAnsi="Google Sans"/>
          <w:color w:val="1f1f1f"/>
          <w:rtl w:val="0"/>
        </w:rPr>
        <w:t xml:space="preserve"> in 2015-16.</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Correspondingly, the aggregate operated area under female technical and administrative control expanded from 10.36% to </w:t>
      </w:r>
      <w:r w:rsidDel="00000000" w:rsidR="00000000" w:rsidRPr="00000000">
        <w:rPr>
          <w:rFonts w:ascii="Google Sans" w:cs="Google Sans" w:eastAsia="Google Sans" w:hAnsi="Google Sans"/>
          <w:b w:val="1"/>
          <w:bCs w:val="1"/>
          <w:color w:val="1f1f1f"/>
          <w:rtl w:val="0"/>
        </w:rPr>
        <w:t xml:space="preserve">11.72%</w:t>
      </w:r>
      <w:r w:rsidDel="00000000" w:rsidR="00000000" w:rsidRPr="00000000">
        <w:rPr>
          <w:rFonts w:ascii="Google Sans" w:cs="Google Sans" w:eastAsia="Google Sans" w:hAnsi="Google Sans"/>
          <w:color w:val="1f1f1f"/>
          <w:rtl w:val="0"/>
        </w:rPr>
        <w:t xml:space="preserve"> over the same period.</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rising participation reflects a profound shift in rural socio-economic dynamics. Driven largely by the out-migration of male labor seeking non-farm employment in urban centers or tertiary sectors, women are increasingly left as the de-facto technical managers of rural farm assets. This feminization mandates a recalibration of agricultural policy, ensuring that credit lines, machinery subsidies, and extension services are explicitly accessible to female operational holders.</w:t>
      </w:r>
    </w:p>
    <w:p w:rsidR="00000000" w:rsidDel="00000000" w:rsidP="00000000" w:rsidRDefault="00000000" w:rsidRPr="00000000" w14:paraId="0000006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 Demographics: Analysis of the 2011 Census Framework</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demographic dividend represents India's most significant long-term macroeconomic asset and concurrently its most complex policy challenge. The finalized empirical data from the 15th National Census (Census 2011) provides the definitive structural baseline for understanding India's population quantum, human capital formation, gender balance, and spatial distribution.</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While various localized or sample-based surveys (such as the Sample Registration System or NFHS) provide interim data, Census 2011 remains the latest fully finalized, exhaustive enumeration of the Indian populace.</w:t>
      </w:r>
    </w:p>
    <w:p w:rsidR="00000000" w:rsidDel="00000000" w:rsidP="00000000" w:rsidRDefault="00000000" w:rsidRPr="00000000" w14:paraId="0000006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6.1 Population Quantum, Growth Deceleration, and Density</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final figures of the 2011 Census established the absolute population of India at </w:t>
      </w:r>
      <w:r w:rsidDel="00000000" w:rsidR="00000000" w:rsidRPr="00000000">
        <w:rPr>
          <w:rFonts w:ascii="Google Sans" w:cs="Google Sans" w:eastAsia="Google Sans" w:hAnsi="Google Sans"/>
          <w:b w:val="1"/>
          <w:bCs w:val="1"/>
          <w:color w:val="1f1f1f"/>
          <w:rtl w:val="0"/>
        </w:rPr>
        <w:t xml:space="preserve">1,210,854,977</w:t>
      </w:r>
      <w:r w:rsidDel="00000000" w:rsidR="00000000" w:rsidRPr="00000000">
        <w:rPr>
          <w:rFonts w:ascii="Google Sans" w:cs="Google Sans" w:eastAsia="Google Sans" w:hAnsi="Google Sans"/>
          <w:color w:val="1f1f1f"/>
          <w:rtl w:val="0"/>
        </w:rPr>
        <w:t xml:space="preserve"> (approximately 1.21 billion individuals).</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 This aggregate comprises 623,724,568 males and 586,469,294 females.</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This figure represented a massive absolute decadal expansion, adding over 181 million individuals to the national aggregate between 2001 and 2011.</w:t>
      </w:r>
      <w:r w:rsidDel="00000000" w:rsidR="00000000" w:rsidRPr="00000000">
        <w:rPr>
          <w:rFonts w:ascii="Google Sans" w:cs="Google Sans" w:eastAsia="Google Sans" w:hAnsi="Google Sans"/>
          <w:color w:val="444746"/>
          <w:sz w:val="24"/>
          <w:szCs w:val="24"/>
          <w:vertAlign w:val="superscript"/>
          <w:rtl w:val="0"/>
        </w:rPr>
        <w:t xml:space="preserve">21</w:t>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Growth Rate Deceleration:</w:t>
      </w:r>
      <w:r w:rsidDel="00000000" w:rsidR="00000000" w:rsidRPr="00000000">
        <w:rPr>
          <w:rFonts w:ascii="Google Sans" w:cs="Google Sans" w:eastAsia="Google Sans" w:hAnsi="Google Sans"/>
          <w:color w:val="1f1f1f"/>
          <w:rtl w:val="0"/>
        </w:rPr>
        <w:t xml:space="preserve"> Despite the staggering absolute volume, a critical macroeconomic positive emerged in the form of a decelerating growth velocity. The average annual growth rate of the population declined from 1.95% in the 2001 Census cycle to 1.63% in 2011.</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This deceleration was consistent across genders, with the male growth rate falling from 1.92% to 1.58%, and the female rate decreasing from 1.99% to 1.68%.</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This systemic slowdown signals India's ongoing progression through the later stages of the demographic transition model toward eventual population stabilization.</w:t>
      </w:r>
    </w:p>
    <w:p w:rsidR="00000000" w:rsidDel="00000000" w:rsidP="00000000" w:rsidRDefault="00000000" w:rsidRPr="00000000" w14:paraId="0000006C">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Spatial Pressure and Density:</w:t>
      </w:r>
      <w:r w:rsidDel="00000000" w:rsidR="00000000" w:rsidRPr="00000000">
        <w:rPr>
          <w:rFonts w:ascii="Google Sans" w:cs="Google Sans" w:eastAsia="Google Sans" w:hAnsi="Google Sans"/>
          <w:color w:val="1f1f1f"/>
          <w:rtl w:val="0"/>
        </w:rPr>
        <w:t xml:space="preserve"> The sheer volume of the population exerts immense spatial pressure on geographic resources. The national average population density escalated to </w:t>
      </w:r>
      <w:r w:rsidDel="00000000" w:rsidR="00000000" w:rsidRPr="00000000">
        <w:rPr>
          <w:rFonts w:ascii="Google Sans" w:cs="Google Sans" w:eastAsia="Google Sans" w:hAnsi="Google Sans"/>
          <w:b w:val="1"/>
          <w:bCs w:val="1"/>
          <w:color w:val="1f1f1f"/>
          <w:rtl w:val="0"/>
        </w:rPr>
        <w:t xml:space="preserve">382 persons per square kilometer</w:t>
      </w:r>
      <w:r w:rsidDel="00000000" w:rsidR="00000000" w:rsidRPr="00000000">
        <w:rPr>
          <w:rFonts w:ascii="Google Sans" w:cs="Google Sans" w:eastAsia="Google Sans" w:hAnsi="Google Sans"/>
          <w:color w:val="1f1f1f"/>
          <w:rtl w:val="0"/>
        </w:rPr>
        <w:t xml:space="preserve"> in 2011.</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This density underscores the intense competition for land, water, and infrastructure. State-wise, Uttar Pradesh dominated the demographic landscape as the most populous state with an absolute population of 19.96 crore, while the Himalayan state of Sikkim recorded the lowest population at roughly 6.07 lakh.</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At the urban scale, metropolitan regions witnessed explosive growth, led by the Mumbai Urban Agglomeration (18.39 million) and Delhi (16.34 million).</w:t>
      </w:r>
      <w:r w:rsidDel="00000000" w:rsidR="00000000" w:rsidRPr="00000000">
        <w:rPr>
          <w:rFonts w:ascii="Google Sans" w:cs="Google Sans" w:eastAsia="Google Sans" w:hAnsi="Google Sans"/>
          <w:color w:val="444746"/>
          <w:sz w:val="24"/>
          <w:szCs w:val="24"/>
          <w:vertAlign w:val="superscript"/>
          <w:rtl w:val="0"/>
        </w:rPr>
        <w:t xml:space="preserve">20</w:t>
      </w:r>
    </w:p>
    <w:p w:rsidR="00000000" w:rsidDel="00000000" w:rsidP="00000000" w:rsidRDefault="00000000" w:rsidRPr="00000000" w14:paraId="0000006D">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6.2 The Sex Ratio: Diverging Dynamics of Gender Balance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demographic balance between genders serves as a fundamental indicator of socio-economic equity, regional healthcare access, and entrenched cultural biases. The 2011 Census presented a striking and paradoxical dichotomy between the overall adult sex ratio and the localized child sex ratio.</w:t>
      </w:r>
    </w:p>
    <w:p w:rsidR="00000000" w:rsidDel="00000000" w:rsidP="00000000" w:rsidRDefault="00000000" w:rsidRPr="00000000" w14:paraId="0000006F">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6.2.1 Overall Sex Ratio Trends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finalized overall sex ratio for the nation in 2011 stood at </w:t>
      </w:r>
      <w:r w:rsidDel="00000000" w:rsidR="00000000" w:rsidRPr="00000000">
        <w:rPr>
          <w:rFonts w:ascii="Google Sans" w:cs="Google Sans" w:eastAsia="Google Sans" w:hAnsi="Google Sans"/>
          <w:b w:val="1"/>
          <w:bCs w:val="1"/>
          <w:color w:val="1f1f1f"/>
          <w:rtl w:val="0"/>
        </w:rPr>
        <w:t xml:space="preserve">943 females per 1,000 males</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(It is vital to note for academic precision that the initial provisional figures had placed this metric at 940, but exhaustive final tabulations elevated it to 943 </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figure represents a highly encouraging upward surge, recording an improvement of 10 points over the 2001 Census figure of 933, and marking the highest overall national sex ratio recorded since the 1971 Census.</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 The historical, post-independence trajectory reveals complex urban-rural divergences. From 1951 to 2011, the sex ratio in rural India actually experienced a secular decline, decreasing from 965 to 946.</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Conversely, urban India experienced sustained improvement, with the ratio increasing from 860 to 929 over the same extended period.</w:t>
      </w:r>
      <w:r w:rsidDel="00000000" w:rsidR="00000000" w:rsidRPr="00000000">
        <w:rPr>
          <w:rFonts w:ascii="Google Sans" w:cs="Google Sans" w:eastAsia="Google Sans" w:hAnsi="Google Sans"/>
          <w:color w:val="444746"/>
          <w:sz w:val="24"/>
          <w:szCs w:val="24"/>
          <w:vertAlign w:val="superscript"/>
          <w:rtl w:val="0"/>
        </w:rPr>
        <w:t xml:space="preserve">23</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State-wise performance exhibits stark geographical divergence, heavily favoring the southern peninsula. Kerala consistently outpaces the national average, registering a robust ratio of 1,084 females per 1,000 males.</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Other top-performing entities include Puducherry (1,037), Tamil Nadu (996), and Andhra Pradesh (993).</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Conversely, northern states continue to lag significantly, with Haryana recording the lowest statewide overall sex ratio at just 877 females per 1,000 males.</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73">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6.2.2 The Plunge in the Child Sex Ratio (0-6 Years)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While the overall adult sex ratio improved, the Child Sex Ratio (CSR)—which strictly measures the gender balance in the highly vulnerable 0-6 age group—revealed a deeply concerning regressive trend. The CSR acts as a real-time indicator of prevailing systemic gender discrimination and selective natal practices.</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final Child Sex Ratio plummeted to an all-time post-independence low of </w:t>
      </w:r>
      <w:r w:rsidDel="00000000" w:rsidR="00000000" w:rsidRPr="00000000">
        <w:rPr>
          <w:rFonts w:ascii="Google Sans" w:cs="Google Sans" w:eastAsia="Google Sans" w:hAnsi="Google Sans"/>
          <w:b w:val="1"/>
          <w:bCs w:val="1"/>
          <w:color w:val="1f1f1f"/>
          <w:rtl w:val="0"/>
        </w:rPr>
        <w:t xml:space="preserve">919 females per 1,000 males</w:t>
      </w:r>
      <w:r w:rsidDel="00000000" w:rsidR="00000000" w:rsidRPr="00000000">
        <w:rPr>
          <w:rFonts w:ascii="Google Sans" w:cs="Google Sans" w:eastAsia="Google Sans" w:hAnsi="Google Sans"/>
          <w:color w:val="1f1f1f"/>
          <w:rtl w:val="0"/>
        </w:rPr>
        <w:t xml:space="preserve"> in 2011.</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(Similar to the overall ratio, the provisional data had indicated an even more severe figure of 914, which was later finalized upward to 919, though still representing a significant decline </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This marks a continuous, unabated decadal deterioration, falling from 945 in 1991 to 927 in 2001, and finally to 919 in 2011.</w:t>
      </w:r>
      <w:r w:rsidDel="00000000" w:rsidR="00000000" w:rsidRPr="00000000">
        <w:rPr>
          <w:rFonts w:ascii="Google Sans" w:cs="Google Sans" w:eastAsia="Google Sans" w:hAnsi="Google Sans"/>
          <w:color w:val="444746"/>
          <w:sz w:val="24"/>
          <w:szCs w:val="24"/>
          <w:vertAlign w:val="superscript"/>
          <w:rtl w:val="0"/>
        </w:rPr>
        <w:t xml:space="preserve">26</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This structural decline permeates both primary geographies, but the drop in rural India (from 933 to 919) was notably more severe—more than three times as steep—compared to the drop in urban India (from 906 to 902).</w:t>
      </w:r>
      <w:r w:rsidDel="00000000" w:rsidR="00000000" w:rsidRPr="00000000">
        <w:rPr>
          <w:rFonts w:ascii="Google Sans" w:cs="Google Sans" w:eastAsia="Google Sans" w:hAnsi="Google Sans"/>
          <w:color w:val="444746"/>
          <w:sz w:val="24"/>
          <w:szCs w:val="24"/>
          <w:vertAlign w:val="superscript"/>
          <w:rtl w:val="0"/>
        </w:rPr>
        <w:t xml:space="preserve">28</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 rigorous analysis of state-level data uncovers a jarring "prosperity paradox." Economically advanced, highly commercialized agrarian states demonstrate the most adverse metrics regarding the girl child. Haryana (834) and Punjab (846) anchor the absolute bottom of the state rankings.</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While these states demonstrated marginal point improvements compared to their abysmal 2001 baselines (Punjab, for instance, improved by an impressive 48 points), their absolute figures remain severely depressed and indicative of deep structural biases.</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Other major states witnessed catastrophic decadal collapses in this metric: Jammu &amp; Kashmir plummeted by 82 points, Maharashtra by 30 points, and Rajasthan by 26 points.</w:t>
      </w:r>
      <w:r w:rsidDel="00000000" w:rsidR="00000000" w:rsidRPr="00000000">
        <w:rPr>
          <w:rFonts w:ascii="Google Sans" w:cs="Google Sans" w:eastAsia="Google Sans" w:hAnsi="Google Sans"/>
          <w:color w:val="444746"/>
          <w:sz w:val="24"/>
          <w:szCs w:val="24"/>
          <w:vertAlign w:val="superscript"/>
          <w:rtl w:val="0"/>
        </w:rPr>
        <w:t xml:space="preserve">25</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Conversely, the Northeastern corridor presents a starkly different, egalitarian cultural paradigm. States such as Arunachal Pradesh (972), Meghalaya (970), and Mizoram (970) possess the healthiest child sex ratios in the republic, fundamentally outpacing the national average and providing a socio-cultural counterweight to the northern plains.</w:t>
      </w:r>
      <w:r w:rsidDel="00000000" w:rsidR="00000000" w:rsidRPr="00000000">
        <w:rPr>
          <w:rFonts w:ascii="Google Sans" w:cs="Google Sans" w:eastAsia="Google Sans" w:hAnsi="Google Sans"/>
          <w:color w:val="444746"/>
          <w:sz w:val="24"/>
          <w:szCs w:val="24"/>
          <w:vertAlign w:val="superscript"/>
          <w:rtl w:val="0"/>
        </w:rPr>
        <w:t xml:space="preserve">26</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continuous decline in the Child Sex Ratio, juxtaposed against rising per capita incomes and overall literacy, indicates that economic development in isolation does not organically eradicate gender bias. The Ministry of Health and Family Welfare explicitly attributes this localized deterioration to deeply ingrained son preference (linked to inheritance and old-age security), exorbitant dowry demands, and the lethal intersection of a "small family norm" with the illicit, widespread availability of pre-conception sex determination technologies.</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This macroeconomic imbalance structurally distorts future marriage markets, depresses long-term female labor force participation rates, and threatens social cohesion, necessitating intense, targeted administrative interventions.</w:t>
      </w:r>
    </w:p>
    <w:p w:rsidR="00000000" w:rsidDel="00000000" w:rsidP="00000000" w:rsidRDefault="00000000" w:rsidRPr="00000000" w14:paraId="0000007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6.3 Human Capital Formation: The Architecture of Literacy</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Literacy serves as the foundational metric for evaluating human capital. It directly dictates the absorptive capacity of the labor force, determining the speed at which a nation can transition surplus agricultural labor into high-productivity formal manufacturing and sophisticated service sectors. The Census 2011 utilizes a stringent definition for this metric: a person aged seven and above who can both read and write with understanding in any language is treated as literate.</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Individuals who can only read but cannot write are explicitly excluded from the literate category.</w:t>
      </w:r>
      <w:r w:rsidDel="00000000" w:rsidR="00000000" w:rsidRPr="00000000">
        <w:rPr>
          <w:rFonts w:ascii="Google Sans" w:cs="Google Sans" w:eastAsia="Google Sans" w:hAnsi="Google Sans"/>
          <w:color w:val="444746"/>
          <w:sz w:val="24"/>
          <w:szCs w:val="24"/>
          <w:vertAlign w:val="superscript"/>
          <w:rtl w:val="0"/>
        </w:rPr>
        <w:t xml:space="preserve">31</w:t>
      </w:r>
    </w:p>
    <w:p w:rsidR="00000000" w:rsidDel="00000000" w:rsidP="00000000" w:rsidRDefault="00000000" w:rsidRPr="00000000" w14:paraId="0000007C">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Overall National Average:</w:t>
      </w:r>
      <w:r w:rsidDel="00000000" w:rsidR="00000000" w:rsidRPr="00000000">
        <w:rPr>
          <w:rFonts w:ascii="Google Sans" w:cs="Google Sans" w:eastAsia="Google Sans" w:hAnsi="Google Sans"/>
          <w:color w:val="1f1f1f"/>
          <w:rtl w:val="0"/>
        </w:rPr>
        <w:t xml:space="preserve"> The absolute overall literacy rate achieved in 2011 was </w:t>
      </w:r>
      <w:r w:rsidDel="00000000" w:rsidR="00000000" w:rsidRPr="00000000">
        <w:rPr>
          <w:rFonts w:ascii="Google Sans" w:cs="Google Sans" w:eastAsia="Google Sans" w:hAnsi="Google Sans"/>
          <w:b w:val="1"/>
          <w:bCs w:val="1"/>
          <w:color w:val="1f1f1f"/>
          <w:rtl w:val="0"/>
        </w:rPr>
        <w:t xml:space="preserve">74.04%</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This marked a highly significant absolute jump from the 64.83% recorded in 2001.</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 In absolute terms, this translated to an addition of over 217 million literates to the national demographic pool in a single decade.</w:t>
      </w:r>
      <w:r w:rsidDel="00000000" w:rsidR="00000000" w:rsidRPr="00000000">
        <w:rPr>
          <w:rFonts w:ascii="Google Sans" w:cs="Google Sans" w:eastAsia="Google Sans" w:hAnsi="Google Sans"/>
          <w:color w:val="444746"/>
          <w:sz w:val="24"/>
          <w:szCs w:val="24"/>
          <w:vertAlign w:val="superscript"/>
          <w:rtl w:val="0"/>
        </w:rPr>
        <w:t xml:space="preserve">27</w:t>
      </w:r>
    </w:p>
    <w:p w:rsidR="00000000" w:rsidDel="00000000" w:rsidP="00000000" w:rsidRDefault="00000000" w:rsidRPr="00000000" w14:paraId="0000007D">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The Gender Stratification of Literacy:</w:t>
      </w:r>
      <w:r w:rsidDel="00000000" w:rsidR="00000000" w:rsidRPr="00000000">
        <w:rPr>
          <w:rFonts w:ascii="Google Sans" w:cs="Google Sans" w:eastAsia="Google Sans" w:hAnsi="Google Sans"/>
          <w:color w:val="1f1f1f"/>
          <w:rtl w:val="0"/>
        </w:rPr>
        <w:t xml:space="preserve"> Despite these impressive aggregate improvements, a severe gender-based deficit persists. The national average obscures the stark differential between genders. Male literacy achieved a robust </w:t>
      </w:r>
      <w:r w:rsidDel="00000000" w:rsidR="00000000" w:rsidRPr="00000000">
        <w:rPr>
          <w:rFonts w:ascii="Google Sans" w:cs="Google Sans" w:eastAsia="Google Sans" w:hAnsi="Google Sans"/>
          <w:b w:val="1"/>
          <w:bCs w:val="1"/>
          <w:color w:val="1f1f1f"/>
          <w:rtl w:val="0"/>
        </w:rPr>
        <w:t xml:space="preserve">82.14%</w:t>
      </w:r>
      <w:r w:rsidDel="00000000" w:rsidR="00000000" w:rsidRPr="00000000">
        <w:rPr>
          <w:rFonts w:ascii="Google Sans" w:cs="Google Sans" w:eastAsia="Google Sans" w:hAnsi="Google Sans"/>
          <w:color w:val="1f1f1f"/>
          <w:rtl w:val="0"/>
        </w:rPr>
        <w:t xml:space="preserve"> (recorded as 82.10% in certain generalized Census tables), while female literacy lagged heavily at </w:t>
      </w:r>
      <w:r w:rsidDel="00000000" w:rsidR="00000000" w:rsidRPr="00000000">
        <w:rPr>
          <w:rFonts w:ascii="Google Sans" w:cs="Google Sans" w:eastAsia="Google Sans" w:hAnsi="Google Sans"/>
          <w:b w:val="1"/>
          <w:bCs w:val="1"/>
          <w:color w:val="1f1f1f"/>
          <w:rtl w:val="0"/>
        </w:rPr>
        <w:t xml:space="preserve">65.46%</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This extensive percentage point differential serves as a major systemic bottleneck, structurally impeding efforts to increase the Female Labor Force Participation Rate (FLFPR) in formal, skill-intensive industries.</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State-wise performance across the literacy landscape mirrors the geographical disparities seen in demographic metrics:</w:t>
      </w:r>
    </w:p>
    <w:p w:rsidR="00000000" w:rsidDel="00000000" w:rsidP="00000000" w:rsidRDefault="00000000" w:rsidRPr="00000000" w14:paraId="0000007F">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The Leading Cohort:</w:t>
      </w:r>
      <w:r w:rsidDel="00000000" w:rsidR="00000000" w:rsidRPr="00000000">
        <w:rPr>
          <w:rFonts w:ascii="Google Sans" w:cs="Google Sans" w:eastAsia="Google Sans" w:hAnsi="Google Sans"/>
          <w:color w:val="1f1f1f"/>
          <w:rtl w:val="0"/>
        </w:rPr>
        <w:t xml:space="preserve"> The southern state of Kerala retained its undisputed historical leadership position, recording a near-universal literacy rate of 93.91% (often rounded to 94.00%).</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It was closely trailed by the Union Territory of Lakshadweep at 92.28% and the northeastern state of Mizoram at 91.58%.</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At the highly granular district level, Serchhip in Mizoram achieved an astonishing national peak literacy rate of 98.76%.</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80">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The Lagging Cohort:</w:t>
      </w:r>
      <w:r w:rsidDel="00000000" w:rsidR="00000000" w:rsidRPr="00000000">
        <w:rPr>
          <w:rFonts w:ascii="Google Sans" w:cs="Google Sans" w:eastAsia="Google Sans" w:hAnsi="Google Sans"/>
          <w:color w:val="1f1f1f"/>
          <w:rtl w:val="0"/>
        </w:rPr>
        <w:t xml:space="preserve"> The highly populous eastern state of Bihar anchored the bottom of the national index with a severely depressed overall literacy rate of just 63.82%.</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It was marginally preceded by Arunachal Pradesh (66.95%) and Rajasthan (67.06%).</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At the district scale, Koraput in Odisha exhibited extreme educational poverty with a literacy rate of just 49.87%.</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table below exhaustively synthesizes the core demographic indicators from the finalized 2011 Census for definitive academic and macroeconomic reference.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Demographic Parameter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Census 2011 Final National Average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Highlights &amp; Methodological Sub-Metrics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Total Absolute Population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1,210,854,977 (1.21 Billion)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Comprises 623.72M males, 586.46M females. Decadal growth decelerated positively to 1.63% annually. </w:t>
            </w:r>
            <w:r w:rsidDel="00000000" w:rsidR="00000000" w:rsidRPr="00000000">
              <w:rPr>
                <w:rFonts w:ascii="Google Sans" w:cs="Google Sans" w:eastAsia="Google Sans" w:hAnsi="Google Sans"/>
                <w:color w:val="444746"/>
                <w:sz w:val="24"/>
                <w:szCs w:val="24"/>
                <w:vertAlign w:val="superscript"/>
                <w:rtl w:val="0"/>
              </w:rPr>
              <w:t xml:space="preserve">21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Overall Adult Sex Ratio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943 females per 1,000 males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Improved from 933 in 2001. Kerala leads nationally at 1,084; Haryana trails at 877. </w:t>
            </w:r>
            <w:r w:rsidDel="00000000" w:rsidR="00000000" w:rsidRPr="00000000">
              <w:rPr>
                <w:rFonts w:ascii="Google Sans" w:cs="Google Sans" w:eastAsia="Google Sans" w:hAnsi="Google Sans"/>
                <w:color w:val="444746"/>
                <w:sz w:val="24"/>
                <w:szCs w:val="24"/>
                <w:vertAlign w:val="superscript"/>
                <w:rtl w:val="0"/>
              </w:rPr>
              <w:t xml:space="preserve">22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Child Sex Ratio (Age 0-6)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919 females per 1,000 males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Lowest recorded since Independence. Severe decline from 927 in 2001, indicating ongoing selective natal practices. </w:t>
            </w:r>
            <w:r w:rsidDel="00000000" w:rsidR="00000000" w:rsidRPr="00000000">
              <w:rPr>
                <w:rFonts w:ascii="Google Sans" w:cs="Google Sans" w:eastAsia="Google Sans" w:hAnsi="Google Sans"/>
                <w:color w:val="444746"/>
                <w:sz w:val="24"/>
                <w:szCs w:val="24"/>
                <w:vertAlign w:val="superscript"/>
                <w:rtl w:val="0"/>
              </w:rPr>
              <w:t xml:space="preserve">22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Population Density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382 persons per square km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Reflects intense geographic spatial pressure, heavily concentrated in northern plains and urban agglomerations. </w:t>
            </w:r>
            <w:r w:rsidDel="00000000" w:rsidR="00000000" w:rsidRPr="00000000">
              <w:rPr>
                <w:rFonts w:ascii="Google Sans" w:cs="Google Sans" w:eastAsia="Google Sans" w:hAnsi="Google Sans"/>
                <w:color w:val="444746"/>
                <w:sz w:val="24"/>
                <w:szCs w:val="24"/>
                <w:vertAlign w:val="superscript"/>
                <w:rtl w:val="0"/>
              </w:rPr>
              <w:t xml:space="preserve">20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Overall Literacy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74.04%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Severe gender disparity persists: Male literacy at 82.14% vs Female literacy at 65.46%. Kerala leads (93.91%); Bihar trails (63.82%). </w:t>
            </w:r>
            <w:r w:rsidDel="00000000" w:rsidR="00000000" w:rsidRPr="00000000">
              <w:rPr>
                <w:rFonts w:ascii="Google Sans" w:cs="Google Sans" w:eastAsia="Google Sans" w:hAnsi="Google Sans"/>
                <w:color w:val="444746"/>
                <w:sz w:val="24"/>
                <w:szCs w:val="24"/>
                <w:vertAlign w:val="superscript"/>
                <w:rtl w:val="0"/>
              </w:rPr>
              <w:t xml:space="preserve">22</w:t>
            </w:r>
          </w:p>
        </w:tc>
      </w:tr>
    </w:tbl>
    <w:p w:rsidR="00000000" w:rsidDel="00000000" w:rsidP="00000000" w:rsidRDefault="00000000" w:rsidRPr="00000000" w14:paraId="0000009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7. Synthesis: The Macroeconomic Convergence of Agriculture and Demographics</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independent data streams analyzing agricultural output and demographic parameters do not operate in isolation; they coalesce to form the most critical structural challenge facing the contemporary Indian economy: the execution of a successful labor market transition to resolve disguised unemployment.</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Currently, 46.1% of India's total workforce remains structurally engaged in the agriculture and allied sector, as verified by recent Periodic Labour Force Survey (PLFS) data.</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Yet, this massive cohort of human capital generates only approximately one-fifth of the national macroeconomic output.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This severe mathematical disparity is the textbook manifestation of disguised unemployment—a scenario where the marginal productivity of excess agricultural labor approaches zero.</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demographic data highlights a massive population of 1.21 billion growing increasingly dense at 382 persons per square kilometer.</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When juxtaposed with the agricultural land data—which reveals that the average operational holding size has shrunk to a mere 1.08 hectares, and that 68.5% of all holdings are highly fragmented marginal plots below 1 hectare—it paints a vivid picture of extreme land-to-man ratio compression.</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As the absolute population continues to expand and agricultural land undergoes further generational fragmentation, the traditional agricultural ecosystem simply cannot absorb the incoming demographic bulge.</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extraordinary surge in total foodgrain production to an estimated 357.73 million tonnes for 2024-25, while an absolute triumph of national food security, is increasingly driven by capital deployment, technological integration, targeted subsidies (such as the 1.63 lakh crore budget allocation), and yield improvements (such as maize yields rising to 3.78 tonnes/hectare).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It is no longer driven by, nor does it require, the expansion of human labor deployment.</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intersection of these metrics mandates definitive macroeconomic policy responses. First, the economy must urgently facilitate the structural transition of excess agricultural labor into the secondary (manufacturing) and formal tertiary (services) sectors. However, this required transition is inherently bottlenecked by the human capital parameters identified in the 2011 Census—specifically, the severely depressed female literacy rate (65.46%) and the vast regional educational deficits in highly populated, labor-exporting states like Bihar (63.82%) and Arunachal Pradesh (66.95%).</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An unskilled, functionally illiterate workforce cannot seamlessly transition from subsistence agrarian practices to precision manufacturing or digitized services.</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Second, because direct crop farming has reached absolute labor saturation limits, the explosive economic growth in allied sectors—with livestock GVA expanding by 195% between FY15 and FY24 and fisheries growing at 8.8%—represents the primary, immediate avenue for rural income enhancement.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Economic policy must aggressively incentivize localized value-addition, agro-processing, cold-chain logistics, and food-tech to create rural employment clusters that capture value closer to the farm gate, preventing distress migration to already overburdened urban agglomerations.</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Finally, the metrics demand an urgent focus on gender equity and labor force integration. The persistent structural decline in the Child Sex Ratio (919 in 2011) and the deeply entrenched gender gap in fundamental literacy exert profound, negative long-term macroeconomic costs. However, recent employment indicators suggest nascent positive momentum. The Female Labour Force Participation Rate (FLFPR) has shown notable, localized leaps; in states like Odisha, female participation surged dramatically from 37.6% in 2022 to 48.7% in 2024, eclipsing national averages.</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Simultaneously, the documented feminization of agricultural operational holdings—now at 13.96%—necessitates an immediate systemic pivot.</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Agricultural credit architecture, machinery subsidies, and technological extension services must be explicitly redesigned to target female farmers, who are rapidly emerging as the de-facto technical and administrative operators of India's fragmented farmland.</w:t>
      </w:r>
    </w:p>
    <w:p w:rsidR="00000000" w:rsidDel="00000000" w:rsidP="00000000" w:rsidRDefault="00000000" w:rsidRPr="00000000" w14:paraId="0000009D">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9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Analysis and Key Findings, accessed February 22, 2026, </w:t>
      </w:r>
      <w:hyperlink r:id="rId6">
        <w:r w:rsidDel="00000000" w:rsidR="00000000" w:rsidRPr="00000000">
          <w:rPr>
            <w:rFonts w:ascii="Google Sans" w:cs="Google Sans" w:eastAsia="Google Sans" w:hAnsi="Google Sans"/>
            <w:color w:val="0000ee"/>
            <w:sz w:val="24"/>
            <w:szCs w:val="24"/>
            <w:u w:val="single"/>
            <w:rtl w:val="0"/>
          </w:rPr>
          <w:t xml:space="preserve">https://www.ibef.org/economy/economic-survey-2025-26</w:t>
        </w:r>
      </w:hyperlink>
      <w:r w:rsidDel="00000000" w:rsidR="00000000" w:rsidRPr="00000000">
        <w:rPr>
          <w:rtl w:val="0"/>
        </w:rPr>
      </w:r>
    </w:p>
    <w:p w:rsidR="00000000" w:rsidDel="00000000" w:rsidP="00000000" w:rsidRDefault="00000000" w:rsidRPr="00000000" w14:paraId="0000009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2026 - Agriculture sector Highlights - EY, accessed February 22, 2026, </w:t>
      </w:r>
      <w:hyperlink r:id="rId7">
        <w:r w:rsidDel="00000000" w:rsidR="00000000" w:rsidRPr="00000000">
          <w:rPr>
            <w:rFonts w:ascii="Google Sans" w:cs="Google Sans" w:eastAsia="Google Sans" w:hAnsi="Google Sans"/>
            <w:color w:val="0000ee"/>
            <w:sz w:val="24"/>
            <w:szCs w:val="24"/>
            <w:u w:val="single"/>
            <w:rtl w:val="0"/>
          </w:rPr>
          <w:t xml:space="preserve">https://www.ey.com/content/dam/ey-unified-site/ey-com/en-in/services/tax/union-budget-2026/ey-agriculture-sector-highlights.pdf</w:t>
        </w:r>
      </w:hyperlink>
      <w:r w:rsidDel="00000000" w:rsidR="00000000" w:rsidRPr="00000000">
        <w:rPr>
          <w:rtl w:val="0"/>
        </w:rPr>
      </w:r>
    </w:p>
    <w:p w:rsidR="00000000" w:rsidDel="00000000" w:rsidP="00000000" w:rsidRDefault="00000000" w:rsidRPr="00000000" w14:paraId="000000A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economic survey 2024-25, accessed February 22, 2026, </w:t>
      </w:r>
      <w:hyperlink r:id="rId8">
        <w:r w:rsidDel="00000000" w:rsidR="00000000" w:rsidRPr="00000000">
          <w:rPr>
            <w:rFonts w:ascii="Google Sans" w:cs="Google Sans" w:eastAsia="Google Sans" w:hAnsi="Google Sans"/>
            <w:color w:val="0000ee"/>
            <w:sz w:val="24"/>
            <w:szCs w:val="24"/>
            <w:u w:val="single"/>
            <w:rtl w:val="0"/>
          </w:rPr>
          <w:t xml:space="preserve">https://www.pib.gov.in/PressReleasePage.aspx?PRID=2097919</w:t>
        </w:r>
      </w:hyperlink>
      <w:r w:rsidDel="00000000" w:rsidR="00000000" w:rsidRPr="00000000">
        <w:rPr>
          <w:rtl w:val="0"/>
        </w:rPr>
      </w:r>
    </w:p>
    <w:p w:rsidR="00000000" w:rsidDel="00000000" w:rsidP="00000000" w:rsidRDefault="00000000" w:rsidRPr="00000000" w14:paraId="000000A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 Committee Reports, accessed February 22, 2026, </w:t>
      </w:r>
      <w:hyperlink r:id="rId9">
        <w:r w:rsidDel="00000000" w:rsidR="00000000" w:rsidRPr="00000000">
          <w:rPr>
            <w:rFonts w:ascii="Google Sans" w:cs="Google Sans" w:eastAsia="Google Sans" w:hAnsi="Google Sans"/>
            <w:color w:val="0000ee"/>
            <w:sz w:val="24"/>
            <w:szCs w:val="24"/>
            <w:u w:val="single"/>
            <w:rtl w:val="0"/>
          </w:rPr>
          <w:t xml:space="preserve">https://prsindia.org/policy/report-summaries/economic-survey-2023-24</w:t>
        </w:r>
      </w:hyperlink>
      <w:r w:rsidDel="00000000" w:rsidR="00000000" w:rsidRPr="00000000">
        <w:rPr>
          <w:rtl w:val="0"/>
        </w:rPr>
      </w:r>
    </w:p>
    <w:p w:rsidR="00000000" w:rsidDel="00000000" w:rsidP="00000000" w:rsidRDefault="00000000" w:rsidRPr="00000000" w14:paraId="000000A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documents the strength of Indian agriculture and rural India”: Shri Shivraj Singh Chouhan - PIB, accessed February 22, 2026, </w:t>
      </w:r>
      <w:hyperlink r:id="rId10">
        <w:r w:rsidDel="00000000" w:rsidR="00000000" w:rsidRPr="00000000">
          <w:rPr>
            <w:rFonts w:ascii="Google Sans" w:cs="Google Sans" w:eastAsia="Google Sans" w:hAnsi="Google Sans"/>
            <w:color w:val="0000ee"/>
            <w:sz w:val="24"/>
            <w:szCs w:val="24"/>
            <w:u w:val="single"/>
            <w:rtl w:val="0"/>
          </w:rPr>
          <w:t xml:space="preserve">https://www.pib.gov.in/PressReleseDetail.aspx?PRID=2220472®=3&amp;lang=1</w:t>
        </w:r>
      </w:hyperlink>
      <w:r w:rsidDel="00000000" w:rsidR="00000000" w:rsidRPr="00000000">
        <w:rPr>
          <w:rtl w:val="0"/>
        </w:rPr>
      </w:r>
    </w:p>
    <w:p w:rsidR="00000000" w:rsidDel="00000000" w:rsidP="00000000" w:rsidRDefault="00000000" w:rsidRPr="00000000" w14:paraId="000000A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Odisha’s economy outpaces national average: Survey, accessed February 22, 2026, </w:t>
      </w:r>
      <w:hyperlink r:id="rId11">
        <w:r w:rsidDel="00000000" w:rsidR="00000000" w:rsidRPr="00000000">
          <w:rPr>
            <w:rFonts w:ascii="Google Sans" w:cs="Google Sans" w:eastAsia="Google Sans" w:hAnsi="Google Sans"/>
            <w:color w:val="0000ee"/>
            <w:sz w:val="24"/>
            <w:szCs w:val="24"/>
            <w:u w:val="single"/>
            <w:rtl w:val="0"/>
          </w:rPr>
          <w:t xml:space="preserve">https://www.thehansindia.com/news/national/odishas-economy-outpaces-national-average-survey-1050166</w:t>
        </w:r>
      </w:hyperlink>
      <w:r w:rsidDel="00000000" w:rsidR="00000000" w:rsidRPr="00000000">
        <w:rPr>
          <w:rtl w:val="0"/>
        </w:rPr>
      </w:r>
    </w:p>
    <w:p w:rsidR="00000000" w:rsidDel="00000000" w:rsidP="00000000" w:rsidRDefault="00000000" w:rsidRPr="00000000" w14:paraId="000000A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economic survey 2024-25, accessed February 22, 2026, </w:t>
      </w:r>
      <w:hyperlink r:id="rId12">
        <w:r w:rsidDel="00000000" w:rsidR="00000000" w:rsidRPr="00000000">
          <w:rPr>
            <w:rFonts w:ascii="Google Sans" w:cs="Google Sans" w:eastAsia="Google Sans" w:hAnsi="Google Sans"/>
            <w:color w:val="0000ee"/>
            <w:sz w:val="24"/>
            <w:szCs w:val="24"/>
            <w:u w:val="single"/>
            <w:rtl w:val="0"/>
          </w:rPr>
          <w:t xml:space="preserve">https://www.pib.gov.in/PressReleasePage.aspx?PRID=2097921</w:t>
        </w:r>
      </w:hyperlink>
      <w:r w:rsidDel="00000000" w:rsidR="00000000" w:rsidRPr="00000000">
        <w:rPr>
          <w:rtl w:val="0"/>
        </w:rPr>
      </w:r>
    </w:p>
    <w:p w:rsidR="00000000" w:rsidDel="00000000" w:rsidP="00000000" w:rsidRDefault="00000000" w:rsidRPr="00000000" w14:paraId="000000A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Foodgrain production hits record high | Current Affairs | Vision IAS, accessed February 22, 2026, </w:t>
      </w:r>
      <w:hyperlink r:id="rId13">
        <w:r w:rsidDel="00000000" w:rsidR="00000000" w:rsidRPr="00000000">
          <w:rPr>
            <w:rFonts w:ascii="Google Sans" w:cs="Google Sans" w:eastAsia="Google Sans" w:hAnsi="Google Sans"/>
            <w:color w:val="0000ee"/>
            <w:sz w:val="24"/>
            <w:szCs w:val="24"/>
            <w:u w:val="single"/>
            <w:rtl w:val="0"/>
          </w:rPr>
          <w:t xml:space="preserve">https://visionias.in/current-affairs/upsc-daily-news-summary/article/2025-11-21/the-indian-express/economy/foodgrain-production-hits-record-high</w:t>
        </w:r>
      </w:hyperlink>
      <w:r w:rsidDel="00000000" w:rsidR="00000000" w:rsidRPr="00000000">
        <w:rPr>
          <w:rtl w:val="0"/>
        </w:rPr>
      </w:r>
    </w:p>
    <w:p w:rsidR="00000000" w:rsidDel="00000000" w:rsidP="00000000" w:rsidRDefault="00000000" w:rsidRPr="00000000" w14:paraId="000000A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Annual Report 2024-25 - Department of Agriculture &amp; Farmers Welfare, accessed February 22, 2026, </w:t>
      </w:r>
      <w:hyperlink r:id="rId14">
        <w:r w:rsidDel="00000000" w:rsidR="00000000" w:rsidRPr="00000000">
          <w:rPr>
            <w:rFonts w:ascii="Google Sans" w:cs="Google Sans" w:eastAsia="Google Sans" w:hAnsi="Google Sans"/>
            <w:color w:val="0000ee"/>
            <w:sz w:val="24"/>
            <w:szCs w:val="24"/>
            <w:u w:val="single"/>
            <w:rtl w:val="0"/>
          </w:rPr>
          <w:t xml:space="preserve">https://agriwelfare.gov.in/Documents/AR_Eng_2024_25.pdf</w:t>
        </w:r>
      </w:hyperlink>
      <w:r w:rsidDel="00000000" w:rsidR="00000000" w:rsidRPr="00000000">
        <w:rPr>
          <w:rtl w:val="0"/>
        </w:rPr>
      </w:r>
    </w:p>
    <w:p w:rsidR="00000000" w:rsidDel="00000000" w:rsidP="00000000" w:rsidRDefault="00000000" w:rsidRPr="00000000" w14:paraId="000000A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AGRICULTURE AND FOOD MANAGEMENT ... - Union Budget, accessed February 22, 2026, </w:t>
      </w:r>
      <w:hyperlink r:id="rId15">
        <w:r w:rsidDel="00000000" w:rsidR="00000000" w:rsidRPr="00000000">
          <w:rPr>
            <w:rFonts w:ascii="Google Sans" w:cs="Google Sans" w:eastAsia="Google Sans" w:hAnsi="Google Sans"/>
            <w:color w:val="0000ee"/>
            <w:sz w:val="24"/>
            <w:szCs w:val="24"/>
            <w:u w:val="single"/>
            <w:rtl w:val="0"/>
          </w:rPr>
          <w:t xml:space="preserve">https://www.indiabudget.gov.in/economicsurvey/doc/eschapter/echap06.pdf</w:t>
        </w:r>
      </w:hyperlink>
      <w:r w:rsidDel="00000000" w:rsidR="00000000" w:rsidRPr="00000000">
        <w:rPr>
          <w:rtl w:val="0"/>
        </w:rPr>
      </w:r>
    </w:p>
    <w:p w:rsidR="00000000" w:rsidDel="00000000" w:rsidP="00000000" w:rsidRDefault="00000000" w:rsidRPr="00000000" w14:paraId="000000A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Sets 2025–26 Foodgrain Production Target at 362.5 Million Tonnes, Confirms Surplus Seed Availability - Global Agriculture, accessed February 22, 2026, </w:t>
      </w:r>
      <w:hyperlink r:id="rId16">
        <w:r w:rsidDel="00000000" w:rsidR="00000000" w:rsidRPr="00000000">
          <w:rPr>
            <w:rFonts w:ascii="Google Sans" w:cs="Google Sans" w:eastAsia="Google Sans" w:hAnsi="Google Sans"/>
            <w:color w:val="0000ee"/>
            <w:sz w:val="24"/>
            <w:szCs w:val="24"/>
            <w:u w:val="single"/>
            <w:rtl w:val="0"/>
          </w:rPr>
          <w:t xml:space="preserve">https://www.global-agriculture.com/india-region/india-sets-2025-26-foodgrain-production-target-at-362-5-million-tonnes-confirms-surplus-seed-availability/</w:t>
        </w:r>
      </w:hyperlink>
      <w:r w:rsidDel="00000000" w:rsidR="00000000" w:rsidRPr="00000000">
        <w:rPr>
          <w:rtl w:val="0"/>
        </w:rPr>
      </w:r>
    </w:p>
    <w:p w:rsidR="00000000" w:rsidDel="00000000" w:rsidP="00000000" w:rsidRDefault="00000000" w:rsidRPr="00000000" w14:paraId="000000A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Record foodgrain output breaks all previous highs, adding new chapters of success to India's agriculture sector - PIB, accessed February 22, 2026, </w:t>
      </w:r>
      <w:hyperlink r:id="rId17">
        <w:r w:rsidDel="00000000" w:rsidR="00000000" w:rsidRPr="00000000">
          <w:rPr>
            <w:rFonts w:ascii="Google Sans" w:cs="Google Sans" w:eastAsia="Google Sans" w:hAnsi="Google Sans"/>
            <w:color w:val="0000ee"/>
            <w:sz w:val="24"/>
            <w:szCs w:val="24"/>
            <w:u w:val="single"/>
            <w:rtl w:val="0"/>
          </w:rPr>
          <w:t xml:space="preserve">https://www.pib.gov.in/PressReleasePage.aspx?PRID=2192315</w:t>
        </w:r>
      </w:hyperlink>
      <w:r w:rsidDel="00000000" w:rsidR="00000000" w:rsidRPr="00000000">
        <w:rPr>
          <w:rtl w:val="0"/>
        </w:rPr>
      </w:r>
    </w:p>
    <w:p w:rsidR="00000000" w:rsidDel="00000000" w:rsidP="00000000" w:rsidRDefault="00000000" w:rsidRPr="00000000" w14:paraId="000000A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2022-23 PRESS INFORMATION BUREAU GOVERNMENT OF INDIA, accessed February 22, 2026, </w:t>
      </w:r>
      <w:hyperlink r:id="rId18">
        <w:r w:rsidDel="00000000" w:rsidR="00000000" w:rsidRPr="00000000">
          <w:rPr>
            <w:rFonts w:ascii="Google Sans" w:cs="Google Sans" w:eastAsia="Google Sans" w:hAnsi="Google Sans"/>
            <w:color w:val="0000ee"/>
            <w:sz w:val="24"/>
            <w:szCs w:val="24"/>
            <w:u w:val="single"/>
            <w:rtl w:val="0"/>
          </w:rPr>
          <w:t xml:space="preserve">https://static.pib.gov.in/WriteReadData/userfiles/file/EconomicSurvey2023Q44O.pdf</w:t>
        </w:r>
      </w:hyperlink>
      <w:r w:rsidDel="00000000" w:rsidR="00000000" w:rsidRPr="00000000">
        <w:rPr>
          <w:rtl w:val="0"/>
        </w:rPr>
      </w:r>
    </w:p>
    <w:p w:rsidR="00000000" w:rsidDel="00000000" w:rsidP="00000000" w:rsidRDefault="00000000" w:rsidRPr="00000000" w14:paraId="000000A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Need of Data by Operational Holding - Agriculture Census, accessed February 22, 2026, </w:t>
      </w:r>
      <w:hyperlink r:id="rId19">
        <w:r w:rsidDel="00000000" w:rsidR="00000000" w:rsidRPr="00000000">
          <w:rPr>
            <w:rFonts w:ascii="Google Sans" w:cs="Google Sans" w:eastAsia="Google Sans" w:hAnsi="Google Sans"/>
            <w:color w:val="0000ee"/>
            <w:sz w:val="24"/>
            <w:szCs w:val="24"/>
            <w:u w:val="single"/>
            <w:rtl w:val="0"/>
          </w:rPr>
          <w:t xml:space="preserve">https://agcensus.da.gov.in/acindianeedoph.html</w:t>
        </w:r>
      </w:hyperlink>
      <w:r w:rsidDel="00000000" w:rsidR="00000000" w:rsidRPr="00000000">
        <w:rPr>
          <w:rtl w:val="0"/>
        </w:rPr>
      </w:r>
    </w:p>
    <w:p w:rsidR="00000000" w:rsidDel="00000000" w:rsidP="00000000" w:rsidRDefault="00000000" w:rsidRPr="00000000" w14:paraId="000000A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Technical Notes - FAO Knowledge Repository, accessed February 22, 2026, </w:t>
      </w:r>
      <w:hyperlink r:id="rId20">
        <w:r w:rsidDel="00000000" w:rsidR="00000000" w:rsidRPr="00000000">
          <w:rPr>
            <w:rFonts w:ascii="Google Sans" w:cs="Google Sans" w:eastAsia="Google Sans" w:hAnsi="Google Sans"/>
            <w:color w:val="0000ee"/>
            <w:sz w:val="24"/>
            <w:szCs w:val="24"/>
            <w:u w:val="single"/>
            <w:rtl w:val="0"/>
          </w:rPr>
          <w:t xml:space="preserve">https://openknowledge.fao.org/bitstreams/c1716bfd-9926-4ad2-8375-826f680c515c/download</w:t>
        </w:r>
      </w:hyperlink>
      <w:r w:rsidDel="00000000" w:rsidR="00000000" w:rsidRPr="00000000">
        <w:rPr>
          <w:rtl w:val="0"/>
        </w:rPr>
      </w:r>
    </w:p>
    <w:p w:rsidR="00000000" w:rsidDel="00000000" w:rsidP="00000000" w:rsidRDefault="00000000" w:rsidRPr="00000000" w14:paraId="000000A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All India Report on Agriculture Census 2015-16, accessed February 22, 2026, </w:t>
      </w:r>
      <w:hyperlink r:id="rId21">
        <w:r w:rsidDel="00000000" w:rsidR="00000000" w:rsidRPr="00000000">
          <w:rPr>
            <w:rFonts w:ascii="Google Sans" w:cs="Google Sans" w:eastAsia="Google Sans" w:hAnsi="Google Sans"/>
            <w:color w:val="0000ee"/>
            <w:sz w:val="24"/>
            <w:szCs w:val="24"/>
            <w:u w:val="single"/>
            <w:rtl w:val="0"/>
          </w:rPr>
          <w:t xml:space="preserve">https://agcensus.da.gov.in/document/agcen1516/ac_1516_report_final-220221.pdf</w:t>
        </w:r>
      </w:hyperlink>
      <w:r w:rsidDel="00000000" w:rsidR="00000000" w:rsidRPr="00000000">
        <w:rPr>
          <w:rtl w:val="0"/>
        </w:rPr>
      </w:r>
    </w:p>
    <w:p w:rsidR="00000000" w:rsidDel="00000000" w:rsidP="00000000" w:rsidRDefault="00000000" w:rsidRPr="00000000" w14:paraId="000000A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Categorisation of Farmers, accessed February 22, 2026, </w:t>
      </w:r>
      <w:hyperlink r:id="rId22">
        <w:r w:rsidDel="00000000" w:rsidR="00000000" w:rsidRPr="00000000">
          <w:rPr>
            <w:rFonts w:ascii="Google Sans" w:cs="Google Sans" w:eastAsia="Google Sans" w:hAnsi="Google Sans"/>
            <w:color w:val="0000ee"/>
            <w:sz w:val="24"/>
            <w:szCs w:val="24"/>
            <w:u w:val="single"/>
            <w:rtl w:val="0"/>
          </w:rPr>
          <w:t xml:space="preserve">https://www.pib.gov.in/Pressreleaseshare.aspx?PRID=1562687</w:t>
        </w:r>
      </w:hyperlink>
      <w:r w:rsidDel="00000000" w:rsidR="00000000" w:rsidRPr="00000000">
        <w:rPr>
          <w:rtl w:val="0"/>
        </w:rPr>
      </w:r>
    </w:p>
    <w:p w:rsidR="00000000" w:rsidDel="00000000" w:rsidP="00000000" w:rsidRDefault="00000000" w:rsidRPr="00000000" w14:paraId="000000A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Report on 10th Agriculture Census 2015-16 - Directorate of Planning, Statistics &amp; Evaluation , Goa, DPSE Goa, accessed February 22, 2026, </w:t>
      </w:r>
      <w:hyperlink r:id="rId23">
        <w:r w:rsidDel="00000000" w:rsidR="00000000" w:rsidRPr="00000000">
          <w:rPr>
            <w:rFonts w:ascii="Google Sans" w:cs="Google Sans" w:eastAsia="Google Sans" w:hAnsi="Google Sans"/>
            <w:color w:val="0000ee"/>
            <w:sz w:val="24"/>
            <w:szCs w:val="24"/>
            <w:u w:val="single"/>
            <w:rtl w:val="0"/>
          </w:rPr>
          <w:t xml:space="preserve">https://www.dpse.goa.gov.in/10th%20Agri%20Census%20Report%202015-16.pdf</w:t>
        </w:r>
      </w:hyperlink>
      <w:r w:rsidDel="00000000" w:rsidR="00000000" w:rsidRPr="00000000">
        <w:rPr>
          <w:rtl w:val="0"/>
        </w:rPr>
      </w:r>
    </w:p>
    <w:p w:rsidR="00000000" w:rsidDel="00000000" w:rsidP="00000000" w:rsidRDefault="00000000" w:rsidRPr="00000000" w14:paraId="000000B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Agriculture Census: Average Size of Operational Land Holdings: Size Group: All Holdings | Economic Indicators | CEIC, accessed February 22, 2026, </w:t>
      </w:r>
      <w:hyperlink r:id="rId24">
        <w:r w:rsidDel="00000000" w:rsidR="00000000" w:rsidRPr="00000000">
          <w:rPr>
            <w:rFonts w:ascii="Google Sans" w:cs="Google Sans" w:eastAsia="Google Sans" w:hAnsi="Google Sans"/>
            <w:color w:val="0000ee"/>
            <w:sz w:val="24"/>
            <w:szCs w:val="24"/>
            <w:u w:val="single"/>
            <w:rtl w:val="0"/>
          </w:rPr>
          <w:t xml:space="preserve">https://www.ceicdata.com/en/india/agriculture-census-average-size-of-operational-land-holdings-by-size-group/agriculture-census-average-size-of-operational-land-holdings-size-group-all-holdings</w:t>
        </w:r>
      </w:hyperlink>
      <w:r w:rsidDel="00000000" w:rsidR="00000000" w:rsidRPr="00000000">
        <w:rPr>
          <w:rtl w:val="0"/>
        </w:rPr>
      </w:r>
    </w:p>
    <w:p w:rsidR="00000000" w:rsidDel="00000000" w:rsidP="00000000" w:rsidRDefault="00000000" w:rsidRPr="00000000" w14:paraId="000000B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Census 2011 India, accessed February 22, 2026, </w:t>
      </w:r>
      <w:hyperlink r:id="rId25">
        <w:r w:rsidDel="00000000" w:rsidR="00000000" w:rsidRPr="00000000">
          <w:rPr>
            <w:rFonts w:ascii="Google Sans" w:cs="Google Sans" w:eastAsia="Google Sans" w:hAnsi="Google Sans"/>
            <w:color w:val="0000ee"/>
            <w:sz w:val="24"/>
            <w:szCs w:val="24"/>
            <w:u w:val="single"/>
            <w:rtl w:val="0"/>
          </w:rPr>
          <w:t xml:space="preserve">https://www.census2011.co.in/</w:t>
        </w:r>
      </w:hyperlink>
      <w:r w:rsidDel="00000000" w:rsidR="00000000" w:rsidRPr="00000000">
        <w:rPr>
          <w:rtl w:val="0"/>
        </w:rPr>
      </w:r>
    </w:p>
    <w:p w:rsidR="00000000" w:rsidDel="00000000" w:rsidP="00000000" w:rsidRDefault="00000000" w:rsidRPr="00000000" w14:paraId="000000B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Country's Population Reaches 1210 Million as Per Census 2011, accessed February 22, 2026, </w:t>
      </w:r>
      <w:hyperlink r:id="rId26">
        <w:r w:rsidDel="00000000" w:rsidR="00000000" w:rsidRPr="00000000">
          <w:rPr>
            <w:rFonts w:ascii="Google Sans" w:cs="Google Sans" w:eastAsia="Google Sans" w:hAnsi="Google Sans"/>
            <w:color w:val="0000ee"/>
            <w:sz w:val="24"/>
            <w:szCs w:val="24"/>
            <w:u w:val="single"/>
            <w:rtl w:val="0"/>
          </w:rPr>
          <w:t xml:space="preserve">https://www.pib.gov.in/newsite/PrintRelease.aspx?relid=71383</w:t>
        </w:r>
      </w:hyperlink>
      <w:r w:rsidDel="00000000" w:rsidR="00000000" w:rsidRPr="00000000">
        <w:rPr>
          <w:rtl w:val="0"/>
        </w:rPr>
      </w:r>
    </w:p>
    <w:p w:rsidR="00000000" w:rsidDel="00000000" w:rsidP="00000000" w:rsidRDefault="00000000" w:rsidRPr="00000000" w14:paraId="000000B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2011 census of India - Wikipedia, accessed February 22, 2026, </w:t>
      </w:r>
      <w:hyperlink r:id="rId27">
        <w:r w:rsidDel="00000000" w:rsidR="00000000" w:rsidRPr="00000000">
          <w:rPr>
            <w:rFonts w:ascii="Google Sans" w:cs="Google Sans" w:eastAsia="Google Sans" w:hAnsi="Google Sans"/>
            <w:color w:val="0000ee"/>
            <w:sz w:val="24"/>
            <w:szCs w:val="24"/>
            <w:u w:val="single"/>
            <w:rtl w:val="0"/>
          </w:rPr>
          <w:t xml:space="preserve">https://en.wikipedia.org/wiki/2011_census_of_India</w:t>
        </w:r>
      </w:hyperlink>
      <w:r w:rsidDel="00000000" w:rsidR="00000000" w:rsidRPr="00000000">
        <w:rPr>
          <w:rtl w:val="0"/>
        </w:rPr>
      </w:r>
    </w:p>
    <w:p w:rsidR="00000000" w:rsidDel="00000000" w:rsidP="00000000" w:rsidRDefault="00000000" w:rsidRPr="00000000" w14:paraId="000000B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1 POPULATION RELATED STATISTICS, accessed February 22, 2026, </w:t>
      </w:r>
      <w:hyperlink r:id="rId28">
        <w:r w:rsidDel="00000000" w:rsidR="00000000" w:rsidRPr="00000000">
          <w:rPr>
            <w:rFonts w:ascii="Google Sans" w:cs="Google Sans" w:eastAsia="Google Sans" w:hAnsi="Google Sans"/>
            <w:color w:val="0000ee"/>
            <w:sz w:val="24"/>
            <w:szCs w:val="24"/>
            <w:u w:val="single"/>
            <w:rtl w:val="0"/>
          </w:rPr>
          <w:t xml:space="preserve">https://www.mospi.gov.in/sites/default/files/reports_and_publication/statistical_publication/social_statistics/WM17Chapter1.pdf</w:t>
        </w:r>
      </w:hyperlink>
      <w:r w:rsidDel="00000000" w:rsidR="00000000" w:rsidRPr="00000000">
        <w:rPr>
          <w:rtl w:val="0"/>
        </w:rPr>
      </w:r>
    </w:p>
    <w:p w:rsidR="00000000" w:rsidDel="00000000" w:rsidP="00000000" w:rsidRDefault="00000000" w:rsidRPr="00000000" w14:paraId="000000B5">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states with Population, Sex Ratio and Literacy Census 2011, accessed February 22, 2026, </w:t>
      </w:r>
      <w:hyperlink r:id="rId29">
        <w:r w:rsidDel="00000000" w:rsidR="00000000" w:rsidRPr="00000000">
          <w:rPr>
            <w:rFonts w:ascii="Google Sans" w:cs="Google Sans" w:eastAsia="Google Sans" w:hAnsi="Google Sans"/>
            <w:color w:val="0000ee"/>
            <w:sz w:val="24"/>
            <w:szCs w:val="24"/>
            <w:u w:val="single"/>
            <w:rtl w:val="0"/>
          </w:rPr>
          <w:t xml:space="preserve">https://www.census2011.co.in/states.php</w:t>
        </w:r>
      </w:hyperlink>
      <w:r w:rsidDel="00000000" w:rsidR="00000000" w:rsidRPr="00000000">
        <w:rPr>
          <w:rtl w:val="0"/>
        </w:rPr>
      </w:r>
    </w:p>
    <w:p w:rsidR="00000000" w:rsidDel="00000000" w:rsidP="00000000" w:rsidRDefault="00000000" w:rsidRPr="00000000" w14:paraId="000000B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DECLINING CHILD SEX RATIO – RESULTS FROM CENSUS 2011, accessed February 22, 2026, </w:t>
      </w:r>
      <w:hyperlink r:id="rId30">
        <w:r w:rsidDel="00000000" w:rsidR="00000000" w:rsidRPr="00000000">
          <w:rPr>
            <w:rFonts w:ascii="Google Sans" w:cs="Google Sans" w:eastAsia="Google Sans" w:hAnsi="Google Sans"/>
            <w:color w:val="0000ee"/>
            <w:sz w:val="24"/>
            <w:szCs w:val="24"/>
            <w:u w:val="single"/>
            <w:rtl w:val="0"/>
          </w:rPr>
          <w:t xml:space="preserve">https://censusindia.gov.in/nada/index.php/catalog/42615/download/46271/Census_of_India_2011-Karnataka-Paper_1_A.pdf</w:t>
        </w:r>
      </w:hyperlink>
      <w:r w:rsidDel="00000000" w:rsidR="00000000" w:rsidRPr="00000000">
        <w:rPr>
          <w:rtl w:val="0"/>
        </w:rPr>
      </w:r>
    </w:p>
    <w:p w:rsidR="00000000" w:rsidDel="00000000" w:rsidP="00000000" w:rsidRDefault="00000000" w:rsidRPr="00000000" w14:paraId="000000B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Decline In Child Sex Ratio, accessed February 22, 2026, </w:t>
      </w:r>
      <w:hyperlink r:id="rId31">
        <w:r w:rsidDel="00000000" w:rsidR="00000000" w:rsidRPr="00000000">
          <w:rPr>
            <w:rFonts w:ascii="Google Sans" w:cs="Google Sans" w:eastAsia="Google Sans" w:hAnsi="Google Sans"/>
            <w:color w:val="0000ee"/>
            <w:sz w:val="24"/>
            <w:szCs w:val="24"/>
            <w:u w:val="single"/>
            <w:rtl w:val="0"/>
          </w:rPr>
          <w:t xml:space="preserve">https://www.pib.gov.in/newsite/printrelease.aspx?relid=103437</w:t>
        </w:r>
      </w:hyperlink>
      <w:r w:rsidDel="00000000" w:rsidR="00000000" w:rsidRPr="00000000">
        <w:rPr>
          <w:rtl w:val="0"/>
        </w:rPr>
      </w:r>
    </w:p>
    <w:p w:rsidR="00000000" w:rsidDel="00000000" w:rsidP="00000000" w:rsidRDefault="00000000" w:rsidRPr="00000000" w14:paraId="000000B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Census of India 2011-Provisional Population Totals, accessed February 22, 2026, </w:t>
      </w:r>
      <w:hyperlink r:id="rId32">
        <w:r w:rsidDel="00000000" w:rsidR="00000000" w:rsidRPr="00000000">
          <w:rPr>
            <w:rFonts w:ascii="Google Sans" w:cs="Google Sans" w:eastAsia="Google Sans" w:hAnsi="Google Sans"/>
            <w:color w:val="0000ee"/>
            <w:sz w:val="24"/>
            <w:szCs w:val="24"/>
            <w:u w:val="single"/>
            <w:rtl w:val="0"/>
          </w:rPr>
          <w:t xml:space="preserve">https://censusindia.gov.in/nada/index.php/catalog/42611/download/46274/Census%20of%20India%202011-Provisional%20Population%20Totals.pdf</w:t>
        </w:r>
      </w:hyperlink>
      <w:r w:rsidDel="00000000" w:rsidR="00000000" w:rsidRPr="00000000">
        <w:rPr>
          <w:rtl w:val="0"/>
        </w:rPr>
      </w:r>
    </w:p>
    <w:p w:rsidR="00000000" w:rsidDel="00000000" w:rsidP="00000000" w:rsidRDefault="00000000" w:rsidRPr="00000000" w14:paraId="000000B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Census of India 2011 Child Sex Ratio, accessed February 22, 2026, </w:t>
      </w:r>
      <w:hyperlink r:id="rId33">
        <w:r w:rsidDel="00000000" w:rsidR="00000000" w:rsidRPr="00000000">
          <w:rPr>
            <w:rFonts w:ascii="Google Sans" w:cs="Google Sans" w:eastAsia="Google Sans" w:hAnsi="Google Sans"/>
            <w:color w:val="0000ee"/>
            <w:sz w:val="24"/>
            <w:szCs w:val="24"/>
            <w:u w:val="single"/>
            <w:rtl w:val="0"/>
          </w:rPr>
          <w:t xml:space="preserve">https://censusindia.gov.in/nada/index.php/catalog/42610/download/46272/Census%20of%20India%202011-Child%20Sex%20Ratio.pdf</w:t>
        </w:r>
      </w:hyperlink>
      <w:r w:rsidDel="00000000" w:rsidR="00000000" w:rsidRPr="00000000">
        <w:rPr>
          <w:rtl w:val="0"/>
        </w:rPr>
      </w:r>
    </w:p>
    <w:p w:rsidR="00000000" w:rsidDel="00000000" w:rsidP="00000000" w:rsidRDefault="00000000" w:rsidRPr="00000000" w14:paraId="000000B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Census of India 2011: Where are the girl-children? | Wikigender, accessed February 22, 2026, </w:t>
      </w:r>
      <w:hyperlink r:id="rId34">
        <w:r w:rsidDel="00000000" w:rsidR="00000000" w:rsidRPr="00000000">
          <w:rPr>
            <w:rFonts w:ascii="Google Sans" w:cs="Google Sans" w:eastAsia="Google Sans" w:hAnsi="Google Sans"/>
            <w:color w:val="0000ee"/>
            <w:sz w:val="24"/>
            <w:szCs w:val="24"/>
            <w:u w:val="single"/>
            <w:rtl w:val="0"/>
          </w:rPr>
          <w:t xml:space="preserve">https://wikigender.oecdcode.org/index.html%3Fp=1245.html</w:t>
        </w:r>
      </w:hyperlink>
      <w:r w:rsidDel="00000000" w:rsidR="00000000" w:rsidRPr="00000000">
        <w:rPr>
          <w:rtl w:val="0"/>
        </w:rPr>
      </w:r>
    </w:p>
    <w:p w:rsidR="00000000" w:rsidDel="00000000" w:rsidP="00000000" w:rsidRDefault="00000000" w:rsidRPr="00000000" w14:paraId="000000B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Census 2011: Governing Populations and the Girl Child, accessed February 22, 2026, </w:t>
      </w:r>
      <w:hyperlink r:id="rId35">
        <w:r w:rsidDel="00000000" w:rsidR="00000000" w:rsidRPr="00000000">
          <w:rPr>
            <w:rFonts w:ascii="Google Sans" w:cs="Google Sans" w:eastAsia="Google Sans" w:hAnsi="Google Sans"/>
            <w:color w:val="0000ee"/>
            <w:sz w:val="24"/>
            <w:szCs w:val="24"/>
            <w:u w:val="single"/>
            <w:rtl w:val="0"/>
          </w:rPr>
          <w:t xml:space="preserve">https://www.unfpa.org/sites/default/files/resource-pdf/UNFPA_Publication-39866.pdf</w:t>
        </w:r>
      </w:hyperlink>
      <w:r w:rsidDel="00000000" w:rsidR="00000000" w:rsidRPr="00000000">
        <w:rPr>
          <w:rtl w:val="0"/>
        </w:rPr>
      </w:r>
    </w:p>
    <w:p w:rsidR="00000000" w:rsidDel="00000000" w:rsidP="00000000" w:rsidRDefault="00000000" w:rsidRPr="00000000" w14:paraId="000000B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Profile - Literacy - Know India, accessed February 22, 2026, </w:t>
      </w:r>
      <w:hyperlink r:id="rId36">
        <w:r w:rsidDel="00000000" w:rsidR="00000000" w:rsidRPr="00000000">
          <w:rPr>
            <w:rFonts w:ascii="Google Sans" w:cs="Google Sans" w:eastAsia="Google Sans" w:hAnsi="Google Sans"/>
            <w:color w:val="0000ee"/>
            <w:sz w:val="24"/>
            <w:szCs w:val="24"/>
            <w:u w:val="single"/>
            <w:rtl w:val="0"/>
          </w:rPr>
          <w:t xml:space="preserve">https://knowindia.india.gov.in/profile/literacy.php</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openknowledge.fao.org/bitstreams/c1716bfd-9926-4ad2-8375-826f680c515c/download" TargetMode="External"/><Relationship Id="rId22" Type="http://schemas.openxmlformats.org/officeDocument/2006/relationships/hyperlink" Target="https://www.pib.gov.in/Pressreleaseshare.aspx?PRID=1562687" TargetMode="External"/><Relationship Id="rId21" Type="http://schemas.openxmlformats.org/officeDocument/2006/relationships/hyperlink" Target="https://agcensus.da.gov.in/document/agcen1516/ac_1516_report_final-220221.pdf" TargetMode="External"/><Relationship Id="rId24" Type="http://schemas.openxmlformats.org/officeDocument/2006/relationships/hyperlink" Target="https://www.ceicdata.com/en/india/agriculture-census-average-size-of-operational-land-holdings-by-size-group/agriculture-census-average-size-of-operational-land-holdings-size-group-all-holdings" TargetMode="External"/><Relationship Id="rId23" Type="http://schemas.openxmlformats.org/officeDocument/2006/relationships/hyperlink" Target="https://www.dpse.goa.gov.in/10th%20Agri%20Census%20Report%202015-16.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sindia.org/policy/report-summaries/economic-survey-2023-24" TargetMode="External"/><Relationship Id="rId26" Type="http://schemas.openxmlformats.org/officeDocument/2006/relationships/hyperlink" Target="https://www.pib.gov.in/newsite/PrintRelease.aspx?relid=71383" TargetMode="External"/><Relationship Id="rId25" Type="http://schemas.openxmlformats.org/officeDocument/2006/relationships/hyperlink" Target="https://www.census2011.co.in/" TargetMode="External"/><Relationship Id="rId28" Type="http://schemas.openxmlformats.org/officeDocument/2006/relationships/hyperlink" Target="https://www.mospi.gov.in/sites/default/files/reports_and_publication/statistical_publication/social_statistics/WM17Chapter1.pdf" TargetMode="External"/><Relationship Id="rId27" Type="http://schemas.openxmlformats.org/officeDocument/2006/relationships/hyperlink" Target="https://en.wikipedia.org/wiki/2011_census_of_India" TargetMode="External"/><Relationship Id="rId5" Type="http://schemas.openxmlformats.org/officeDocument/2006/relationships/styles" Target="styles.xml"/><Relationship Id="rId6" Type="http://schemas.openxmlformats.org/officeDocument/2006/relationships/hyperlink" Target="https://www.ibef.org/economy/economic-survey-2025-26" TargetMode="External"/><Relationship Id="rId29" Type="http://schemas.openxmlformats.org/officeDocument/2006/relationships/hyperlink" Target="https://www.census2011.co.in/states.php" TargetMode="External"/><Relationship Id="rId7" Type="http://schemas.openxmlformats.org/officeDocument/2006/relationships/hyperlink" Target="https://www.ey.com/content/dam/ey-unified-site/ey-com/en-in/services/tax/union-budget-2026/ey-agriculture-sector-highlights.pdf" TargetMode="External"/><Relationship Id="rId8" Type="http://schemas.openxmlformats.org/officeDocument/2006/relationships/hyperlink" Target="https://www.pib.gov.in/PressReleasePage.aspx?PRID=2097919" TargetMode="External"/><Relationship Id="rId31" Type="http://schemas.openxmlformats.org/officeDocument/2006/relationships/hyperlink" Target="https://www.pib.gov.in/newsite/printrelease.aspx?relid=103437" TargetMode="External"/><Relationship Id="rId30" Type="http://schemas.openxmlformats.org/officeDocument/2006/relationships/hyperlink" Target="https://censusindia.gov.in/nada/index.php/catalog/42615/download/46271/Census_of_India_2011-Karnataka-Paper_1_A.pdf" TargetMode="External"/><Relationship Id="rId11" Type="http://schemas.openxmlformats.org/officeDocument/2006/relationships/hyperlink" Target="https://www.thehansindia.com/news/national/odishas-economy-outpaces-national-average-survey-1050166" TargetMode="External"/><Relationship Id="rId33" Type="http://schemas.openxmlformats.org/officeDocument/2006/relationships/hyperlink" Target="https://censusindia.gov.in/nada/index.php/catalog/42610/download/46272/Census%20of%20India%202011-Child%20Sex%20Ratio.pdf" TargetMode="External"/><Relationship Id="rId10" Type="http://schemas.openxmlformats.org/officeDocument/2006/relationships/hyperlink" Target="https://www.pib.gov.in/PressReleseDetail.aspx?PRID=2220472&amp;reg=3&amp;lang=1" TargetMode="External"/><Relationship Id="rId32" Type="http://schemas.openxmlformats.org/officeDocument/2006/relationships/hyperlink" Target="https://censusindia.gov.in/nada/index.php/catalog/42611/download/46274/Census%20of%20India%202011-Provisional%20Population%20Totals.pdf" TargetMode="External"/><Relationship Id="rId13" Type="http://schemas.openxmlformats.org/officeDocument/2006/relationships/hyperlink" Target="https://visionias.in/current-affairs/upsc-daily-news-summary/article/2025-11-21/the-indian-express/economy/foodgrain-production-hits-record-high" TargetMode="External"/><Relationship Id="rId35" Type="http://schemas.openxmlformats.org/officeDocument/2006/relationships/hyperlink" Target="https://www.unfpa.org/sites/default/files/resource-pdf/UNFPA_Publication-39866.pdf" TargetMode="External"/><Relationship Id="rId12" Type="http://schemas.openxmlformats.org/officeDocument/2006/relationships/hyperlink" Target="https://www.pib.gov.in/PressReleasePage.aspx?PRID=2097921" TargetMode="External"/><Relationship Id="rId34" Type="http://schemas.openxmlformats.org/officeDocument/2006/relationships/hyperlink" Target="https://wikigender.oecdcode.org/index.html%3Fp=1245.html" TargetMode="External"/><Relationship Id="rId15" Type="http://schemas.openxmlformats.org/officeDocument/2006/relationships/hyperlink" Target="https://www.indiabudget.gov.in/economicsurvey/doc/eschapter/echap06.pdf" TargetMode="External"/><Relationship Id="rId14" Type="http://schemas.openxmlformats.org/officeDocument/2006/relationships/hyperlink" Target="https://agriwelfare.gov.in/Documents/AR_Eng_2024_25.pdf" TargetMode="External"/><Relationship Id="rId36" Type="http://schemas.openxmlformats.org/officeDocument/2006/relationships/hyperlink" Target="https://knowindia.india.gov.in/profile/literacy.php" TargetMode="External"/><Relationship Id="rId17" Type="http://schemas.openxmlformats.org/officeDocument/2006/relationships/hyperlink" Target="https://www.pib.gov.in/PressReleasePage.aspx?PRID=2192315" TargetMode="External"/><Relationship Id="rId16" Type="http://schemas.openxmlformats.org/officeDocument/2006/relationships/hyperlink" Target="https://www.global-agriculture.com/india-region/india-sets-2025-26-foodgrain-production-target-at-362-5-million-tonnes-confirms-surplus-seed-availability/" TargetMode="External"/><Relationship Id="rId19" Type="http://schemas.openxmlformats.org/officeDocument/2006/relationships/hyperlink" Target="https://agcensus.da.gov.in/acindianeedoph.html" TargetMode="External"/><Relationship Id="rId18" Type="http://schemas.openxmlformats.org/officeDocument/2006/relationships/hyperlink" Target="https://static.pib.gov.in/WriteReadData/userfiles/file/EconomicSurvey2023Q44O.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