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Module 1: Fiscal Policy &amp; Budgetary Data: Indian Economy 2024-25</w:t>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The macroeconomic architecture of the Indian economy has undergone a profound structural transformation in the post-pandemic era, transitioning definitively from a consumption-led recovery framework to an investment-led, capacity-building paradigm. Backed by the robust macroeconomic frameworks presented in the Union Budget 2024-25, the Interim Budget 2024-25, and the foundational data from the Economic Survey 2023-24, the central government has adopted a dual-engine strategy. This strategy is defined by aggressive fiscal consolidation on one hand and unparalleled capital expenditure expansion on the other.</w:t>
      </w:r>
      <w:r w:rsidDel="00000000" w:rsidR="00000000" w:rsidRPr="00000000">
        <w:rPr>
          <w:rFonts w:ascii="Google Sans" w:cs="Google Sans" w:eastAsia="Google Sans" w:hAnsi="Google Sans"/>
          <w:color w:val="444746"/>
          <w:sz w:val="24"/>
          <w:szCs w:val="24"/>
          <w:vertAlign w:val="superscript"/>
          <w:rtl w:val="0"/>
        </w:rPr>
        <w:t xml:space="preserve">1</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The Indian economy registered a formidable real Gross Domestic Product (GDP) growth rate of 8.2% in the financial year 2023-24 (FY23-24 Actuals), coming on the heels of 9.7% and 7.0% growth in the preceding two years.</w:t>
      </w:r>
      <w:r w:rsidDel="00000000" w:rsidR="00000000" w:rsidRPr="00000000">
        <w:rPr>
          <w:rFonts w:ascii="Google Sans" w:cs="Google Sans" w:eastAsia="Google Sans" w:hAnsi="Google Sans"/>
          <w:color w:val="444746"/>
          <w:sz w:val="24"/>
          <w:szCs w:val="24"/>
          <w:vertAlign w:val="superscript"/>
          <w:rtl w:val="0"/>
        </w:rPr>
        <w:t xml:space="preserve">4</w:t>
      </w:r>
      <w:r w:rsidDel="00000000" w:rsidR="00000000" w:rsidRPr="00000000">
        <w:rPr>
          <w:rFonts w:ascii="Google Sans" w:cs="Google Sans" w:eastAsia="Google Sans" w:hAnsi="Google Sans"/>
          <w:color w:val="1f1f1f"/>
          <w:rtl w:val="0"/>
        </w:rPr>
        <w:t xml:space="preserve"> This growth was heavily supported by strong non-financial private-sector capital formation and sustained public infrastructure outlays.</w:t>
      </w:r>
      <w:r w:rsidDel="00000000" w:rsidR="00000000" w:rsidRPr="00000000">
        <w:rPr>
          <w:rFonts w:ascii="Google Sans" w:cs="Google Sans" w:eastAsia="Google Sans" w:hAnsi="Google Sans"/>
          <w:color w:val="444746"/>
          <w:sz w:val="24"/>
          <w:szCs w:val="24"/>
          <w:vertAlign w:val="superscript"/>
          <w:rtl w:val="0"/>
        </w:rPr>
        <w:t xml:space="preserve">4</w:t>
      </w:r>
      <w:r w:rsidDel="00000000" w:rsidR="00000000" w:rsidRPr="00000000">
        <w:rPr>
          <w:rFonts w:ascii="Google Sans" w:cs="Google Sans" w:eastAsia="Google Sans" w:hAnsi="Google Sans"/>
          <w:color w:val="1f1f1f"/>
          <w:rtl w:val="0"/>
        </w:rPr>
        <w:t xml:space="preserve"> Looking forward, the Union Budget 2024-25 estimates a nominal GDP growth rate of 10.5% for the FY25 Budget Estimates (BE).</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With retail headline inflation moderating to an average of 5.4% in FY24—down significantly from 6.7% in FY23—the macroeconomic environment reflects a stabilization phase that allows fiscal policy to focus predominantly on long-term capacity building, supply-side bottlenecks, and human capital development rather than short-term crisis stabilization.</w:t>
      </w:r>
      <w:r w:rsidDel="00000000" w:rsidR="00000000" w:rsidRPr="00000000">
        <w:rPr>
          <w:rFonts w:ascii="Google Sans" w:cs="Google Sans" w:eastAsia="Google Sans" w:hAnsi="Google Sans"/>
          <w:color w:val="444746"/>
          <w:sz w:val="24"/>
          <w:szCs w:val="24"/>
          <w:vertAlign w:val="superscript"/>
          <w:rtl w:val="0"/>
        </w:rPr>
        <w:t xml:space="preserve">3</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Furthermore, India's external sector exhibits remarkable stability, anchoring domestic fiscal operations. The Current Account Deficit (CAD) moderated to a highly comfortable 0.7% of GDP in FY24 (down from 2.0% in FY23), driven by a shrinking merchandise trade deficit and robust services exports.</w:t>
      </w:r>
      <w:r w:rsidDel="00000000" w:rsidR="00000000" w:rsidRPr="00000000">
        <w:rPr>
          <w:rFonts w:ascii="Google Sans" w:cs="Google Sans" w:eastAsia="Google Sans" w:hAnsi="Google Sans"/>
          <w:color w:val="444746"/>
          <w:sz w:val="24"/>
          <w:szCs w:val="24"/>
          <w:vertAlign w:val="superscript"/>
          <w:rtl w:val="0"/>
        </w:rPr>
        <w:t xml:space="preserve">3</w:t>
      </w:r>
      <w:r w:rsidDel="00000000" w:rsidR="00000000" w:rsidRPr="00000000">
        <w:rPr>
          <w:rFonts w:ascii="Google Sans" w:cs="Google Sans" w:eastAsia="Google Sans" w:hAnsi="Google Sans"/>
          <w:color w:val="1f1f1f"/>
          <w:rtl w:val="0"/>
        </w:rPr>
        <w:t xml:space="preserve"> Coupled with foreign exchange reserves crossing the $700 billion threshold, these buffers ensure that elevated domestic infrastructure spending does not lead to a twin-deficit crisis.</w:t>
      </w:r>
      <w:r w:rsidDel="00000000" w:rsidR="00000000" w:rsidRPr="00000000">
        <w:rPr>
          <w:rFonts w:ascii="Google Sans" w:cs="Google Sans" w:eastAsia="Google Sans" w:hAnsi="Google Sans"/>
          <w:color w:val="444746"/>
          <w:sz w:val="24"/>
          <w:szCs w:val="24"/>
          <w:vertAlign w:val="superscript"/>
          <w:rtl w:val="0"/>
        </w:rPr>
        <w:t xml:space="preserve">7</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This comprehensive research report serves as an exhaustive, advanced-level reference module on the Indian Economy. It strictly prioritizes empirical accuracy, chronological precision, and advanced macroeconomic theory. The data is rigorously grounded in the most recent official sources, explicitly distinguishing between Actuals, Revised Estimates (RE), and Budget Estimates (BE), to provide a nuanced understanding of India's evolving fiscal state.</w:t>
      </w:r>
    </w:p>
    <w:p w:rsidR="00000000" w:rsidDel="00000000" w:rsidP="00000000" w:rsidRDefault="00000000" w:rsidRPr="00000000" w14:paraId="00000006">
      <w:pPr>
        <w:pStyle w:val="Heading2"/>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Module 1: Fiscal Policy &amp; Budgetary Data</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Fiscal policy in India is guided by the Fiscal Responsibility and Budget Management (FRBM) Act, which mandates a prudent glide path for sovereign debt and deficit reduction. The Union Budget 2024-25 explicitly reiterates the administration's steadfast commitment to this consolidation path, targeting a reduction of the fiscal deficit to below 4.5% of GDP by FY26.</w:t>
      </w:r>
      <w:r w:rsidDel="00000000" w:rsidR="00000000" w:rsidRPr="00000000">
        <w:rPr>
          <w:rFonts w:ascii="Google Sans" w:cs="Google Sans" w:eastAsia="Google Sans" w:hAnsi="Google Sans"/>
          <w:color w:val="444746"/>
          <w:sz w:val="24"/>
          <w:szCs w:val="24"/>
          <w:vertAlign w:val="superscript"/>
          <w:rtl w:val="0"/>
        </w:rPr>
        <w:t xml:space="preserve">2</w:t>
      </w:r>
    </w:p>
    <w:p w:rsidR="00000000" w:rsidDel="00000000" w:rsidP="00000000" w:rsidRDefault="00000000" w:rsidRPr="00000000" w14:paraId="00000008">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Deficit Trends and Macroeconomic Implications</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The deficit metrics trace a clear trajectory of fiscal prudence. The data indicates a systematic and deliberate unwinding of the pandemic-era fiscal stimulus, transitioning from a peak fiscal deficit of 9.2% of GDP in FY21 down to a highly disciplined budgeted estimate of 4.9% for FY25.</w:t>
      </w:r>
      <w:r w:rsidDel="00000000" w:rsidR="00000000" w:rsidRPr="00000000">
        <w:rPr>
          <w:rFonts w:ascii="Google Sans" w:cs="Google Sans" w:eastAsia="Google Sans" w:hAnsi="Google Sans"/>
          <w:color w:val="444746"/>
          <w:sz w:val="24"/>
          <w:szCs w:val="24"/>
          <w:vertAlign w:val="superscript"/>
          <w:rtl w:val="0"/>
        </w:rPr>
        <w:t xml:space="preserve">8</w:t>
      </w:r>
      <w:r w:rsidDel="00000000" w:rsidR="00000000" w:rsidRPr="00000000">
        <w:rPr>
          <w:rFonts w:ascii="Google Sans" w:cs="Google Sans" w:eastAsia="Google Sans" w:hAnsi="Google Sans"/>
          <w:color w:val="1f1f1f"/>
          <w:rtl w:val="0"/>
        </w:rPr>
        <w:t xml:space="preserve"> This consolidation is not achieved through severe austerity that harms growth, but rather through improved tax buoyancy, subsidy rationalization, and the denominator effect of strong nominal GDP growth.</w:t>
      </w:r>
    </w:p>
    <w:p w:rsidR="00000000" w:rsidDel="00000000" w:rsidP="00000000" w:rsidRDefault="00000000" w:rsidRPr="00000000" w14:paraId="0000000A">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Table 1: Deficit Trends as a Percentage of GDP</w:t>
      </w:r>
    </w:p>
    <w:tbl>
      <w:tblPr>
        <w:tblStyle w:val="Table1"/>
        <w:tblW w:w="936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Deficit Indicator</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FY23 (Actuals)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FY24 (Revised Estimates - RE)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FY25 (Budget Estimates - BE)</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Fiscal Deficit</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6.4%</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5.8%</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4.9%</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Revenue Deficit</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3.9%</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2.8%</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1.8%</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Primary Deficit</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3.0%</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2.3%</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1.4%</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Effective Revenue Deficit</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2.8%</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1.8%</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0.8%</w:t>
            </w:r>
          </w:p>
        </w:tc>
      </w:tr>
    </w:tbl>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spacing w:after="240" w:before="48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Data Note: The percentages reflect the exact official figures presented in the Union Budget 2024-25 Budget at a Glance and corroborating macroeconomic reviews.</w:t>
      </w:r>
      <w:r w:rsidDel="00000000" w:rsidR="00000000" w:rsidRPr="00000000">
        <w:rPr>
          <w:rFonts w:ascii="Google Sans" w:cs="Google Sans" w:eastAsia="Google Sans" w:hAnsi="Google Sans"/>
          <w:color w:val="444746"/>
          <w:sz w:val="24"/>
          <w:szCs w:val="24"/>
          <w:vertAlign w:val="superscript"/>
          <w:rtl w:val="0"/>
        </w:rPr>
        <w:t xml:space="preserve">1</w:t>
      </w:r>
    </w:p>
    <w:p w:rsidR="00000000" w:rsidDel="00000000" w:rsidP="00000000" w:rsidRDefault="00000000" w:rsidRPr="00000000" w14:paraId="00000020">
      <w:pPr>
        <w:pStyle w:val="Heading4"/>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Analytical Context of Deficit Metrics</w:t>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b w:val="1"/>
          <w:bCs w:val="1"/>
          <w:color w:val="1f1f1f"/>
          <w:rtl w:val="0"/>
        </w:rPr>
        <w:t xml:space="preserve">1. Fiscal Deficit (4.9% in FY25 BE):</w:t>
      </w:r>
      <w:r w:rsidDel="00000000" w:rsidR="00000000" w:rsidRPr="00000000">
        <w:rPr>
          <w:rFonts w:ascii="Google Sans" w:cs="Google Sans" w:eastAsia="Google Sans" w:hAnsi="Google Sans"/>
          <w:color w:val="1f1f1f"/>
          <w:rtl w:val="0"/>
        </w:rPr>
        <w:t xml:space="preserve"> The Fiscal Deficit represents the total borrowing requirement of the Union Government. The reduction of the Fiscal Deficit to 4.9% in FY25 (BE) from 5.8% in FY24 (RE) is a watershed moment in recent fiscal history.</w:t>
      </w:r>
      <w:r w:rsidDel="00000000" w:rsidR="00000000" w:rsidRPr="00000000">
        <w:rPr>
          <w:rFonts w:ascii="Google Sans" w:cs="Google Sans" w:eastAsia="Google Sans" w:hAnsi="Google Sans"/>
          <w:color w:val="444746"/>
          <w:sz w:val="24"/>
          <w:szCs w:val="24"/>
          <w:vertAlign w:val="superscript"/>
          <w:rtl w:val="0"/>
        </w:rPr>
        <w:t xml:space="preserve">8</w:t>
      </w:r>
      <w:r w:rsidDel="00000000" w:rsidR="00000000" w:rsidRPr="00000000">
        <w:rPr>
          <w:rFonts w:ascii="Google Sans" w:cs="Google Sans" w:eastAsia="Google Sans" w:hAnsi="Google Sans"/>
          <w:color w:val="1f1f1f"/>
          <w:rtl w:val="0"/>
        </w:rPr>
        <w:t xml:space="preserve"> In absolute terms, the fiscal deficit for FY25 is budgeted at ₹16,13,312 crore.</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To finance this, gross market borrowings through dated securities are estimated at ₹14.01 lakh crore, with net market borrowings pegged at ₹11.63 lakh crore.</w:t>
      </w:r>
      <w:r w:rsidDel="00000000" w:rsidR="00000000" w:rsidRPr="00000000">
        <w:rPr>
          <w:rFonts w:ascii="Google Sans" w:cs="Google Sans" w:eastAsia="Google Sans" w:hAnsi="Google Sans"/>
          <w:color w:val="444746"/>
          <w:sz w:val="24"/>
          <w:szCs w:val="24"/>
          <w:vertAlign w:val="superscript"/>
          <w:rtl w:val="0"/>
        </w:rPr>
        <w:t xml:space="preserve">5</w:t>
      </w:r>
      <w:r w:rsidDel="00000000" w:rsidR="00000000" w:rsidRPr="00000000">
        <w:rPr>
          <w:rFonts w:ascii="Google Sans" w:cs="Google Sans" w:eastAsia="Google Sans" w:hAnsi="Google Sans"/>
          <w:color w:val="1f1f1f"/>
          <w:rtl w:val="0"/>
        </w:rPr>
        <w:t xml:space="preserve"> From a macroeconomic perspective, the deliberate scaling back of sovereign borrowing is vital. Heavy government borrowing inherently increases the supply of sovereign bonds, which can drive up bond yields and subsequently raise the cost of capital across the broader economy. By curtailing this "crowding out" effect, the government ensures that sufficient domestic liquidity remains available for private sector credit expansion.</w:t>
      </w:r>
      <w:r w:rsidDel="00000000" w:rsidR="00000000" w:rsidRPr="00000000">
        <w:rPr>
          <w:rFonts w:ascii="Google Sans" w:cs="Google Sans" w:eastAsia="Google Sans" w:hAnsi="Google Sans"/>
          <w:color w:val="444746"/>
          <w:sz w:val="24"/>
          <w:szCs w:val="24"/>
          <w:vertAlign w:val="superscript"/>
          <w:rtl w:val="0"/>
        </w:rPr>
        <w:t xml:space="preserve">2</w:t>
      </w:r>
      <w:r w:rsidDel="00000000" w:rsidR="00000000" w:rsidRPr="00000000">
        <w:rPr>
          <w:rFonts w:ascii="Google Sans" w:cs="Google Sans" w:eastAsia="Google Sans" w:hAnsi="Google Sans"/>
          <w:color w:val="1f1f1f"/>
          <w:rtl w:val="0"/>
        </w:rPr>
        <w:t xml:space="preserve"> This fiscal discipline has also yielded external dividends; for instance, S&amp;P upgraded India's sovereign rating outlook, marking the first major upgrade from the agency in nearly two decades, predicated on this exact adherence to the fiscal glide path.</w:t>
      </w:r>
      <w:r w:rsidDel="00000000" w:rsidR="00000000" w:rsidRPr="00000000">
        <w:rPr>
          <w:rFonts w:ascii="Google Sans" w:cs="Google Sans" w:eastAsia="Google Sans" w:hAnsi="Google Sans"/>
          <w:color w:val="444746"/>
          <w:sz w:val="24"/>
          <w:szCs w:val="24"/>
          <w:vertAlign w:val="superscript"/>
          <w:rtl w:val="0"/>
        </w:rPr>
        <w:t xml:space="preserve">11</w:t>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b w:val="1"/>
          <w:bCs w:val="1"/>
          <w:color w:val="1f1f1f"/>
          <w:rtl w:val="0"/>
        </w:rPr>
        <w:t xml:space="preserve">2. Revenue Deficit (1.8% in FY25 BE):</w:t>
      </w:r>
      <w:r w:rsidDel="00000000" w:rsidR="00000000" w:rsidRPr="00000000">
        <w:rPr>
          <w:rFonts w:ascii="Google Sans" w:cs="Google Sans" w:eastAsia="Google Sans" w:hAnsi="Google Sans"/>
          <w:color w:val="1f1f1f"/>
          <w:rtl w:val="0"/>
        </w:rPr>
        <w:t xml:space="preserve"> The Revenue Deficit measures the shortfall of current revenue receipts over current revenue expenditures. A high revenue deficit implies that the government is borrowing simply to fund day-to-day consumption and administrative expenses, which yields no future financial returns. The steep decline from 3.9% in FY23 (Actuals) to a budgeted 1.8% in FY25 (BE) is arguably the most positive qualitative indicator in the budget.</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It signifies that the government is increasingly financing its recurring operations through intrinsic, sustainable revenue streams (taxation) rather than accumulating unproductive debt.</w:t>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b w:val="1"/>
          <w:bCs w:val="1"/>
          <w:color w:val="1f1f1f"/>
          <w:rtl w:val="0"/>
        </w:rPr>
        <w:t xml:space="preserve">3. Effective Revenue Deficit (0.8% in FY25 BE):</w:t>
      </w:r>
      <w:r w:rsidDel="00000000" w:rsidR="00000000" w:rsidRPr="00000000">
        <w:rPr>
          <w:rFonts w:ascii="Google Sans" w:cs="Google Sans" w:eastAsia="Google Sans" w:hAnsi="Google Sans"/>
          <w:color w:val="1f1f1f"/>
          <w:rtl w:val="0"/>
        </w:rPr>
        <w:t xml:space="preserve"> The Effective Revenue Deficit (ERD) is a uniquely Indian fiscal metric, introduced to exclude grants given by the Union to the States for the explicit creation of capital assets. Since these grants are technically classified as "revenue expenditure" in the Union accounting system, they artificially inflate the revenue deficit, even though the funds are used for productive capital formation at the state level. The projected plunge in the ERD to an almost negligible 0.8% in FY25 (BE)—down from 2.8% in FY23 (Actuals)—signals an overwhelming structural shift.</w:t>
      </w:r>
      <w:r w:rsidDel="00000000" w:rsidR="00000000" w:rsidRPr="00000000">
        <w:rPr>
          <w:rFonts w:ascii="Google Sans" w:cs="Google Sans" w:eastAsia="Google Sans" w:hAnsi="Google Sans"/>
          <w:color w:val="444746"/>
          <w:sz w:val="24"/>
          <w:szCs w:val="24"/>
          <w:vertAlign w:val="superscript"/>
          <w:rtl w:val="0"/>
        </w:rPr>
        <w:t xml:space="preserve">8</w:t>
      </w:r>
      <w:r w:rsidDel="00000000" w:rsidR="00000000" w:rsidRPr="00000000">
        <w:rPr>
          <w:rFonts w:ascii="Google Sans" w:cs="Google Sans" w:eastAsia="Google Sans" w:hAnsi="Google Sans"/>
          <w:color w:val="1f1f1f"/>
          <w:rtl w:val="0"/>
        </w:rPr>
        <w:t xml:space="preserve"> It illustrates that nearly all borrowed funds at the Union level are now directly translating into capital asset creation, fulfilling the "Golden Rule" of public finance which dictates that governments should only borrow to invest, not to consume.</w:t>
      </w:r>
    </w:p>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b w:val="1"/>
          <w:bCs w:val="1"/>
          <w:color w:val="1f1f1f"/>
          <w:rtl w:val="0"/>
        </w:rPr>
        <w:t xml:space="preserve">4. Primary Deficit (1.4% in FY25 BE):</w:t>
      </w:r>
      <w:r w:rsidDel="00000000" w:rsidR="00000000" w:rsidRPr="00000000">
        <w:rPr>
          <w:rFonts w:ascii="Google Sans" w:cs="Google Sans" w:eastAsia="Google Sans" w:hAnsi="Google Sans"/>
          <w:color w:val="1f1f1f"/>
          <w:rtl w:val="0"/>
        </w:rPr>
        <w:t xml:space="preserve"> The Primary Deficit is calculated by subtracting interest payments from the Fiscal Deficit. Because interest payments are an unavoidable legacy of accumulated past borrowings, the primary deficit reflects the fundamental stance of the </w:t>
      </w:r>
      <w:r w:rsidDel="00000000" w:rsidR="00000000" w:rsidRPr="00000000">
        <w:rPr>
          <w:rFonts w:ascii="Google Sans" w:cs="Google Sans" w:eastAsia="Google Sans" w:hAnsi="Google Sans"/>
          <w:i w:val="1"/>
          <w:iCs w:val="1"/>
          <w:color w:val="1f1f1f"/>
          <w:rtl w:val="0"/>
        </w:rPr>
        <w:t xml:space="preserve">current</w:t>
      </w:r>
      <w:r w:rsidDel="00000000" w:rsidR="00000000" w:rsidRPr="00000000">
        <w:rPr>
          <w:rFonts w:ascii="Google Sans" w:cs="Google Sans" w:eastAsia="Google Sans" w:hAnsi="Google Sans"/>
          <w:color w:val="1f1f1f"/>
          <w:rtl w:val="0"/>
        </w:rPr>
        <w:t xml:space="preserve"> year's fiscal operations. The Primary Deficit is budgeted to compress sharply to 1.4% of GDP in FY25 (BE), down from 3.0% in FY23 (Actuals).</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A rapidly falling primary deficit denotes that current fiscal operations, excluding historical debt servicing, are operating with extreme discipline. This is particularly impressive given the massive burden of legacy debt; interest payments account for a staggering 24% of the total FY25 (BE) expenditure and consume 37% of all revenue receipts.</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Bringing the primary deficit down to 1.4% is the clearest mathematical proof that the core budget is fundamentally balanced.</w:t>
      </w:r>
    </w:p>
    <w:p w:rsidR="00000000" w:rsidDel="00000000" w:rsidP="00000000" w:rsidRDefault="00000000" w:rsidRPr="00000000" w14:paraId="00000025">
      <w:pPr>
        <w:pStyle w:val="Heading2"/>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Module 2: Taxation Trends and Revenue Generation</w:t>
      </w:r>
    </w:p>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The buoyancy in tax collections over the past three fiscal cycles has provided the indispensable fiscal space required to fund massive infrastructure expansion while simultaneously narrowing the fiscal deficit. The Union Government has steadily optimized its tax base through aggressive digitalization, formalization of the informal sector, the implementation of faceless tax assessments, and the strategic popularization of the simplified new income tax regime.</w:t>
      </w:r>
      <w:r w:rsidDel="00000000" w:rsidR="00000000" w:rsidRPr="00000000">
        <w:rPr>
          <w:rFonts w:ascii="Google Sans" w:cs="Google Sans" w:eastAsia="Google Sans" w:hAnsi="Google Sans"/>
          <w:color w:val="444746"/>
          <w:sz w:val="24"/>
          <w:szCs w:val="24"/>
          <w:vertAlign w:val="superscript"/>
          <w:rtl w:val="0"/>
        </w:rPr>
        <w:t xml:space="preserve">12</w:t>
      </w:r>
    </w:p>
    <w:p w:rsidR="00000000" w:rsidDel="00000000" w:rsidP="00000000" w:rsidRDefault="00000000" w:rsidRPr="00000000" w14:paraId="00000027">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Table 2: Tax-to-GDP Ratios</w:t>
      </w:r>
    </w:p>
    <w:tbl>
      <w:tblPr>
        <w:tblStyle w:val="Table2"/>
        <w:tblW w:w="936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Tax Category</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FY23 (Actuals)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FY24 (Revised Estimates - RE)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FY25 (Budget Estimates - BE)</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Direct Tax to GDP Ratio</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6.1%</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6.6%</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6.7%</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Indirect Tax to GDP Ratio</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5.1%</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5.0%</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4.9%</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Gross Tax Revenue to GDP</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11.2%</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11.6%</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11.7%</w:t>
            </w:r>
          </w:p>
        </w:tc>
      </w:tr>
    </w:tbl>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spacing w:after="240" w:before="48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Data Note: The structural ratios reflect the upward adjustments from the Economic Survey 2023-24 Statistical Appendix, and institutional macroeconomic analyses of the Budget 2024-25.</w:t>
      </w:r>
      <w:r w:rsidDel="00000000" w:rsidR="00000000" w:rsidRPr="00000000">
        <w:rPr>
          <w:rFonts w:ascii="Google Sans" w:cs="Google Sans" w:eastAsia="Google Sans" w:hAnsi="Google Sans"/>
          <w:color w:val="444746"/>
          <w:sz w:val="24"/>
          <w:szCs w:val="24"/>
          <w:vertAlign w:val="superscript"/>
          <w:rtl w:val="0"/>
        </w:rPr>
        <w:t xml:space="preserve">8</w:t>
      </w:r>
    </w:p>
    <w:p w:rsidR="00000000" w:rsidDel="00000000" w:rsidP="00000000" w:rsidRDefault="00000000" w:rsidRPr="00000000" w14:paraId="00000039">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The Structural Shift in Taxation: Progressive Over Regressive</w:t>
      </w:r>
    </w:p>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The empirical evidence points to a profound maturation of the Indian tax architecture. In FY25 (BE), the Direct Tax to GDP ratio is projected to reach 6.7%, definitively and sustainably outpacing the Indirect Tax to GDP ratio of 4.9%.</w:t>
      </w:r>
      <w:r w:rsidDel="00000000" w:rsidR="00000000" w:rsidRPr="00000000">
        <w:rPr>
          <w:rFonts w:ascii="Google Sans" w:cs="Google Sans" w:eastAsia="Google Sans" w:hAnsi="Google Sans"/>
          <w:color w:val="444746"/>
          <w:sz w:val="24"/>
          <w:szCs w:val="24"/>
          <w:vertAlign w:val="superscript"/>
          <w:rtl w:val="0"/>
        </w:rPr>
        <w:t xml:space="preserve">13</w:t>
      </w:r>
    </w:p>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This divergence is not merely a statistical artifact; it represents a monumental shift toward a highly progressive tax system. Historically, developing economies rely heavily on indirect taxes (like excise, customs, and sales taxes), which are inherently regressive because they apply uniformly to the consumption of goods and services regardless of an individual's income bracket. This places a disproportionate burden on the lower-income strata.</w:t>
      </w:r>
    </w:p>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The sustained rise in direct tax collections—driven largely by personal income tax outperforming corporate tax—demonstrates higher compliance, digital formalization, and improved tax administration efficiency.</w:t>
      </w:r>
      <w:r w:rsidDel="00000000" w:rsidR="00000000" w:rsidRPr="00000000">
        <w:rPr>
          <w:rFonts w:ascii="Google Sans" w:cs="Google Sans" w:eastAsia="Google Sans" w:hAnsi="Google Sans"/>
          <w:color w:val="444746"/>
          <w:sz w:val="24"/>
          <w:szCs w:val="24"/>
          <w:vertAlign w:val="superscript"/>
          <w:rtl w:val="0"/>
        </w:rPr>
        <w:t xml:space="preserve">12</w:t>
      </w:r>
      <w:r w:rsidDel="00000000" w:rsidR="00000000" w:rsidRPr="00000000">
        <w:rPr>
          <w:rFonts w:ascii="Google Sans" w:cs="Google Sans" w:eastAsia="Google Sans" w:hAnsi="Google Sans"/>
          <w:color w:val="1f1f1f"/>
          <w:rtl w:val="0"/>
        </w:rPr>
        <w:t xml:space="preserve"> Between 2000-01 and 2023-24, personal income tax has grown at an annualized rate of 16%, compared to 15% for corporate tax.</w:t>
      </w:r>
      <w:r w:rsidDel="00000000" w:rsidR="00000000" w:rsidRPr="00000000">
        <w:rPr>
          <w:rFonts w:ascii="Google Sans" w:cs="Google Sans" w:eastAsia="Google Sans" w:hAnsi="Google Sans"/>
          <w:color w:val="444746"/>
          <w:sz w:val="24"/>
          <w:szCs w:val="24"/>
          <w:vertAlign w:val="superscript"/>
          <w:rtl w:val="0"/>
        </w:rPr>
        <w:t xml:space="preserve">12</w:t>
      </w:r>
      <w:r w:rsidDel="00000000" w:rsidR="00000000" w:rsidRPr="00000000">
        <w:rPr>
          <w:rFonts w:ascii="Google Sans" w:cs="Google Sans" w:eastAsia="Google Sans" w:hAnsi="Google Sans"/>
          <w:color w:val="1f1f1f"/>
          <w:rtl w:val="0"/>
        </w:rPr>
        <w:t xml:space="preserve"> The contribution of direct taxes to total tax revenue climbed to 56.72% in 2023-24, marking the highest proportion in 14 years.</w:t>
      </w:r>
      <w:r w:rsidDel="00000000" w:rsidR="00000000" w:rsidRPr="00000000">
        <w:rPr>
          <w:rFonts w:ascii="Google Sans" w:cs="Google Sans" w:eastAsia="Google Sans" w:hAnsi="Google Sans"/>
          <w:color w:val="444746"/>
          <w:sz w:val="24"/>
          <w:szCs w:val="24"/>
          <w:vertAlign w:val="superscript"/>
          <w:rtl w:val="0"/>
        </w:rPr>
        <w:t xml:space="preserve">14</w:t>
      </w:r>
    </w:p>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Another significant factor altering this mix is the corporate tax rate cut enacted in 2019. The government deliberately sacrificed short-term corporate tax revenue (reducing the base rate from 30% to 22% for existing companies, and 15% for new manufacturing firms) to stimulate long-term private capital investment and improve global competitiveness.</w:t>
      </w:r>
      <w:r w:rsidDel="00000000" w:rsidR="00000000" w:rsidRPr="00000000">
        <w:rPr>
          <w:rFonts w:ascii="Google Sans" w:cs="Google Sans" w:eastAsia="Google Sans" w:hAnsi="Google Sans"/>
          <w:color w:val="444746"/>
          <w:sz w:val="24"/>
          <w:szCs w:val="24"/>
          <w:vertAlign w:val="superscript"/>
          <w:rtl w:val="0"/>
        </w:rPr>
        <w:t xml:space="preserve">16</w:t>
      </w:r>
      <w:r w:rsidDel="00000000" w:rsidR="00000000" w:rsidRPr="00000000">
        <w:rPr>
          <w:rFonts w:ascii="Google Sans" w:cs="Google Sans" w:eastAsia="Google Sans" w:hAnsi="Google Sans"/>
          <w:color w:val="1f1f1f"/>
          <w:rtl w:val="0"/>
        </w:rPr>
        <w:t xml:space="preserve"> While this temporarily suppressed the corporate tax-to-GDP ratio, it laid the groundwork for enhanced corporate profitability, which is now reflecting in higher private gross fixed capital formation.</w:t>
      </w:r>
      <w:r w:rsidDel="00000000" w:rsidR="00000000" w:rsidRPr="00000000">
        <w:rPr>
          <w:rFonts w:ascii="Google Sans" w:cs="Google Sans" w:eastAsia="Google Sans" w:hAnsi="Google Sans"/>
          <w:color w:val="444746"/>
          <w:sz w:val="24"/>
          <w:szCs w:val="24"/>
          <w:vertAlign w:val="superscript"/>
          <w:rtl w:val="0"/>
        </w:rPr>
        <w:t xml:space="preserve">4</w:t>
      </w:r>
    </w:p>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Concurrently, to boost aggregate demand and provide relief to the middle class, the Union Budget 2024-25 made strategic adjustments to the personal income tax structure under the new tax regime. The standard deduction for salaried individuals and pensioners was enhanced from ₹50,000 to ₹75,000.</w:t>
      </w:r>
      <w:r w:rsidDel="00000000" w:rsidR="00000000" w:rsidRPr="00000000">
        <w:rPr>
          <w:rFonts w:ascii="Google Sans" w:cs="Google Sans" w:eastAsia="Google Sans" w:hAnsi="Google Sans"/>
          <w:color w:val="444746"/>
          <w:sz w:val="24"/>
          <w:szCs w:val="24"/>
          <w:vertAlign w:val="superscript"/>
          <w:rtl w:val="0"/>
        </w:rPr>
        <w:t xml:space="preserve">6</w:t>
      </w:r>
      <w:r w:rsidDel="00000000" w:rsidR="00000000" w:rsidRPr="00000000">
        <w:rPr>
          <w:rFonts w:ascii="Google Sans" w:cs="Google Sans" w:eastAsia="Google Sans" w:hAnsi="Google Sans"/>
          <w:color w:val="1f1f1f"/>
          <w:rtl w:val="0"/>
        </w:rPr>
        <w:t xml:space="preserve"> The deduction allowed for family pensions was increased from ₹15,000 to ₹25,000.</w:t>
      </w:r>
      <w:r w:rsidDel="00000000" w:rsidR="00000000" w:rsidRPr="00000000">
        <w:rPr>
          <w:rFonts w:ascii="Google Sans" w:cs="Google Sans" w:eastAsia="Google Sans" w:hAnsi="Google Sans"/>
          <w:color w:val="444746"/>
          <w:sz w:val="24"/>
          <w:szCs w:val="24"/>
          <w:vertAlign w:val="superscript"/>
          <w:rtl w:val="0"/>
        </w:rPr>
        <w:t xml:space="preserve">6</w:t>
      </w:r>
      <w:r w:rsidDel="00000000" w:rsidR="00000000" w:rsidRPr="00000000">
        <w:rPr>
          <w:rFonts w:ascii="Google Sans" w:cs="Google Sans" w:eastAsia="Google Sans" w:hAnsi="Google Sans"/>
          <w:color w:val="1f1f1f"/>
          <w:rtl w:val="0"/>
        </w:rPr>
        <w:t xml:space="preserve"> Furthermore, the tax-deductible limit for employers' contributions to the National Pension System (NPS) was expanded to 14% of the employee's salary, up from the earlier 10%.</w:t>
      </w:r>
      <w:r w:rsidDel="00000000" w:rsidR="00000000" w:rsidRPr="00000000">
        <w:rPr>
          <w:rFonts w:ascii="Google Sans" w:cs="Google Sans" w:eastAsia="Google Sans" w:hAnsi="Google Sans"/>
          <w:color w:val="444746"/>
          <w:sz w:val="24"/>
          <w:szCs w:val="24"/>
          <w:vertAlign w:val="superscript"/>
          <w:rtl w:val="0"/>
        </w:rPr>
        <w:t xml:space="preserve">6</w:t>
      </w:r>
      <w:r w:rsidDel="00000000" w:rsidR="00000000" w:rsidRPr="00000000">
        <w:rPr>
          <w:rFonts w:ascii="Google Sans" w:cs="Google Sans" w:eastAsia="Google Sans" w:hAnsi="Google Sans"/>
          <w:color w:val="1f1f1f"/>
          <w:rtl w:val="0"/>
        </w:rPr>
        <w:t xml:space="preserve"> These recalibrations are designed to increase disposable income, theoretically elevating the marginal propensity to consume (MPC) and counteracting tapering private consumption in the urban economy.</w:t>
      </w:r>
      <w:r w:rsidDel="00000000" w:rsidR="00000000" w:rsidRPr="00000000">
        <w:rPr>
          <w:rFonts w:ascii="Google Sans" w:cs="Google Sans" w:eastAsia="Google Sans" w:hAnsi="Google Sans"/>
          <w:color w:val="444746"/>
          <w:sz w:val="24"/>
          <w:szCs w:val="24"/>
          <w:vertAlign w:val="superscript"/>
          <w:rtl w:val="0"/>
        </w:rPr>
        <w:t xml:space="preserve">10</w:t>
      </w:r>
    </w:p>
    <w:p w:rsidR="00000000" w:rsidDel="00000000" w:rsidP="00000000" w:rsidRDefault="00000000" w:rsidRPr="00000000" w14:paraId="0000003F">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The "Rupee Comes From" Composition</w:t>
      </w:r>
    </w:p>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Analyzing the consolidated receipts of the Union Government provides unparalleled insight into the state's macroeconomic dependencies. The "Rupee Comes From" metric is a standard pedagogical tool that breaks down the entire revenue pool of the government into a simplified 100-paisa (or 100%) distribution.</w:t>
      </w:r>
    </w:p>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Based on the FY25 (BE) figures, the top four sources of revenue for the Union Government, arranged in strict descending order of their proportional contribution, are:</w:t>
      </w:r>
    </w:p>
    <w:p w:rsidR="00000000" w:rsidDel="00000000" w:rsidP="00000000" w:rsidRDefault="00000000" w:rsidRPr="00000000" w14:paraId="00000042">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Table 3: Top 4 Revenue Sources (FY25 BE)</w:t>
      </w:r>
    </w:p>
    <w:tbl>
      <w:tblPr>
        <w:tblStyle w:val="Table3"/>
        <w:tblW w:w="936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3">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Rank</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4">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Source of Revenue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5">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Percentage Contribution</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6">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1</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7">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Borrowings and Other Liabilities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8">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28%</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2</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Income Tax (Personal)</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B">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19%</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C">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3</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D">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Goods and Services Tax (GST) &amp; Other Related Taxes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E">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18%</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F">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4</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50">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Corporation Tax</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51">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17%</w:t>
            </w:r>
          </w:p>
        </w:tc>
      </w:tr>
    </w:tbl>
    <w:p w:rsidR="00000000" w:rsidDel="00000000" w:rsidP="00000000" w:rsidRDefault="00000000" w:rsidRPr="00000000" w14:paraId="00000052">
      <w:pPr>
        <w:pBdr>
          <w:top w:space="0" w:sz="0" w:val="nil"/>
          <w:left w:space="0" w:sz="0" w:val="nil"/>
          <w:bottom w:space="0" w:sz="0" w:val="nil"/>
          <w:right w:space="0" w:sz="0" w:val="nil"/>
          <w:between w:space="0" w:sz="0" w:val="nil"/>
        </w:pBdr>
        <w:shd w:fill="auto" w:val="clear"/>
        <w:spacing w:after="240" w:before="48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Data Note: Sourced directly from the "Budget at a Glance" document, Union Budget 2024-25.</w:t>
      </w:r>
      <w:r w:rsidDel="00000000" w:rsidR="00000000" w:rsidRPr="00000000">
        <w:rPr>
          <w:rFonts w:ascii="Google Sans" w:cs="Google Sans" w:eastAsia="Google Sans" w:hAnsi="Google Sans"/>
          <w:color w:val="444746"/>
          <w:sz w:val="24"/>
          <w:szCs w:val="24"/>
          <w:vertAlign w:val="superscript"/>
          <w:rtl w:val="0"/>
        </w:rPr>
        <w:t xml:space="preserve">8</w:t>
      </w:r>
    </w:p>
    <w:p w:rsidR="00000000" w:rsidDel="00000000" w:rsidP="00000000" w:rsidRDefault="00000000" w:rsidRPr="00000000" w14:paraId="00000053">
      <w:pPr>
        <w:pStyle w:val="Heading4"/>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Insights into Revenue Profiling</w:t>
      </w:r>
    </w:p>
    <w:p w:rsidR="00000000" w:rsidDel="00000000" w:rsidP="00000000" w:rsidRDefault="00000000" w:rsidRPr="00000000" w14:paraId="00000054">
      <w:pPr>
        <w:numPr>
          <w:ilvl w:val="0"/>
          <w:numId w:val="1"/>
        </w:numPr>
        <w:pBdr>
          <w:top w:space="0" w:sz="0" w:val="nil"/>
          <w:left w:space="0" w:sz="0" w:val="nil"/>
          <w:bottom w:space="0" w:sz="0" w:val="nil"/>
          <w:right w:space="0" w:sz="0" w:val="nil"/>
          <w:between w:space="0" w:sz="0" w:val="nil"/>
        </w:pBdr>
        <w:shd w:fill="auto" w:val="clear"/>
        <w:spacing w:after="0" w:afterAutospacing="0" w:line="275.9999942779541" w:lineRule="auto"/>
        <w:ind w:left="480" w:hanging="360"/>
      </w:pPr>
      <w:r w:rsidDel="00000000" w:rsidR="00000000" w:rsidRPr="00000000">
        <w:rPr>
          <w:rFonts w:ascii="Google Sans" w:cs="Google Sans" w:eastAsia="Google Sans" w:hAnsi="Google Sans"/>
          <w:b w:val="1"/>
          <w:bCs w:val="1"/>
          <w:color w:val="1f1f1f"/>
          <w:rtl w:val="0"/>
        </w:rPr>
        <w:t xml:space="preserve">Borrowings and Other Liabilities (28%):</w:t>
      </w:r>
      <w:r w:rsidDel="00000000" w:rsidR="00000000" w:rsidRPr="00000000">
        <w:rPr>
          <w:rFonts w:ascii="Google Sans" w:cs="Google Sans" w:eastAsia="Google Sans" w:hAnsi="Google Sans"/>
          <w:color w:val="1f1f1f"/>
          <w:rtl w:val="0"/>
        </w:rPr>
        <w:t xml:space="preserve"> While reliance on borrowings remains the single largest source of budgetary funding at 28%, it is systematically declining in alignment with the FRBM consolidation targets.</w:t>
      </w:r>
      <w:r w:rsidDel="00000000" w:rsidR="00000000" w:rsidRPr="00000000">
        <w:rPr>
          <w:rFonts w:ascii="Google Sans" w:cs="Google Sans" w:eastAsia="Google Sans" w:hAnsi="Google Sans"/>
          <w:color w:val="444746"/>
          <w:sz w:val="24"/>
          <w:szCs w:val="24"/>
          <w:vertAlign w:val="superscript"/>
          <w:rtl w:val="0"/>
        </w:rPr>
        <w:t xml:space="preserve">8</w:t>
      </w:r>
      <w:r w:rsidDel="00000000" w:rsidR="00000000" w:rsidRPr="00000000">
        <w:rPr>
          <w:rFonts w:ascii="Google Sans" w:cs="Google Sans" w:eastAsia="Google Sans" w:hAnsi="Google Sans"/>
          <w:color w:val="1f1f1f"/>
          <w:rtl w:val="0"/>
        </w:rPr>
        <w:t xml:space="preserve"> This borrowed capital is the direct equivalent of the fiscal deficit discussed in Module 1.1.</w:t>
      </w:r>
    </w:p>
    <w:p w:rsidR="00000000" w:rsidDel="00000000" w:rsidP="00000000" w:rsidRDefault="00000000" w:rsidRPr="00000000" w14:paraId="00000055">
      <w:pPr>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80" w:hanging="360"/>
      </w:pPr>
      <w:r w:rsidDel="00000000" w:rsidR="00000000" w:rsidRPr="00000000">
        <w:rPr>
          <w:rFonts w:ascii="Google Sans" w:cs="Google Sans" w:eastAsia="Google Sans" w:hAnsi="Google Sans"/>
          <w:b w:val="1"/>
          <w:bCs w:val="1"/>
          <w:color w:val="1f1f1f"/>
          <w:rtl w:val="0"/>
        </w:rPr>
        <w:t xml:space="preserve">Income Tax Surpassing Corporation Tax:</w:t>
      </w:r>
      <w:r w:rsidDel="00000000" w:rsidR="00000000" w:rsidRPr="00000000">
        <w:rPr>
          <w:rFonts w:ascii="Google Sans" w:cs="Google Sans" w:eastAsia="Google Sans" w:hAnsi="Google Sans"/>
          <w:color w:val="1f1f1f"/>
          <w:rtl w:val="0"/>
        </w:rPr>
        <w:t xml:space="preserve"> The most remarkable and economically significant trend in the FY25 (BE) distribution is Personal Income Tax (19%) surpassing Corporation Tax (17%).</w:t>
      </w:r>
      <w:r w:rsidDel="00000000" w:rsidR="00000000" w:rsidRPr="00000000">
        <w:rPr>
          <w:rFonts w:ascii="Google Sans" w:cs="Google Sans" w:eastAsia="Google Sans" w:hAnsi="Google Sans"/>
          <w:color w:val="444746"/>
          <w:sz w:val="24"/>
          <w:szCs w:val="24"/>
          <w:vertAlign w:val="superscript"/>
          <w:rtl w:val="0"/>
        </w:rPr>
        <w:t xml:space="preserve">16</w:t>
      </w:r>
      <w:r w:rsidDel="00000000" w:rsidR="00000000" w:rsidRPr="00000000">
        <w:rPr>
          <w:rFonts w:ascii="Google Sans" w:cs="Google Sans" w:eastAsia="Google Sans" w:hAnsi="Google Sans"/>
          <w:color w:val="1f1f1f"/>
          <w:rtl w:val="0"/>
        </w:rPr>
        <w:t xml:space="preserve"> For decades, corporate tax was the primary engine of direct tax revenue in India. The inversion of this relationship indicates a rapidly widening base of individual taxpayers and rising formal incomes among the middle class. While only a small fraction of the population pays the bulk of income tax, the absolute number of return filers has grown at a compound annual growth rate (CAGR) of 10% over the last decade.</w:t>
      </w:r>
      <w:r w:rsidDel="00000000" w:rsidR="00000000" w:rsidRPr="00000000">
        <w:rPr>
          <w:rFonts w:ascii="Google Sans" w:cs="Google Sans" w:eastAsia="Google Sans" w:hAnsi="Google Sans"/>
          <w:color w:val="444746"/>
          <w:sz w:val="24"/>
          <w:szCs w:val="24"/>
          <w:vertAlign w:val="superscript"/>
          <w:rtl w:val="0"/>
        </w:rPr>
        <w:t xml:space="preserve">12</w:t>
      </w:r>
    </w:p>
    <w:p w:rsidR="00000000" w:rsidDel="00000000" w:rsidP="00000000" w:rsidRDefault="00000000" w:rsidRPr="00000000" w14:paraId="00000056">
      <w:pPr>
        <w:numPr>
          <w:ilvl w:val="0"/>
          <w:numId w:val="1"/>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80" w:hanging="360"/>
      </w:pPr>
      <w:r w:rsidDel="00000000" w:rsidR="00000000" w:rsidRPr="00000000">
        <w:rPr>
          <w:rFonts w:ascii="Google Sans" w:cs="Google Sans" w:eastAsia="Google Sans" w:hAnsi="Google Sans"/>
          <w:b w:val="1"/>
          <w:bCs w:val="1"/>
          <w:color w:val="1f1f1f"/>
          <w:rtl w:val="0"/>
        </w:rPr>
        <w:t xml:space="preserve">The Stabilization of GST (18%):</w:t>
      </w:r>
      <w:r w:rsidDel="00000000" w:rsidR="00000000" w:rsidRPr="00000000">
        <w:rPr>
          <w:rFonts w:ascii="Google Sans" w:cs="Google Sans" w:eastAsia="Google Sans" w:hAnsi="Google Sans"/>
          <w:color w:val="1f1f1f"/>
          <w:rtl w:val="0"/>
        </w:rPr>
        <w:t xml:space="preserve"> The Goods and Services Tax (GST) has definitively stabilized as an extremely reliable and robust revenue engine, contributing a steady 18% to the national exchequer.</w:t>
      </w:r>
      <w:r w:rsidDel="00000000" w:rsidR="00000000" w:rsidRPr="00000000">
        <w:rPr>
          <w:rFonts w:ascii="Google Sans" w:cs="Google Sans" w:eastAsia="Google Sans" w:hAnsi="Google Sans"/>
          <w:color w:val="444746"/>
          <w:sz w:val="24"/>
          <w:szCs w:val="24"/>
          <w:vertAlign w:val="superscript"/>
          <w:rtl w:val="0"/>
        </w:rPr>
        <w:t xml:space="preserve">18</w:t>
      </w:r>
      <w:r w:rsidDel="00000000" w:rsidR="00000000" w:rsidRPr="00000000">
        <w:rPr>
          <w:rFonts w:ascii="Google Sans" w:cs="Google Sans" w:eastAsia="Google Sans" w:hAnsi="Google Sans"/>
          <w:color w:val="1f1f1f"/>
          <w:rtl w:val="0"/>
        </w:rPr>
        <w:t xml:space="preserve"> Gross GST receipts are estimated to register a growth of 11.0% over the revised estimates for FY24, reaching an estimated ₹10.62 lakh crore in the central budget for FY25.</w:t>
      </w:r>
      <w:r w:rsidDel="00000000" w:rsidR="00000000" w:rsidRPr="00000000">
        <w:rPr>
          <w:rFonts w:ascii="Google Sans" w:cs="Google Sans" w:eastAsia="Google Sans" w:hAnsi="Google Sans"/>
          <w:color w:val="444746"/>
          <w:sz w:val="24"/>
          <w:szCs w:val="24"/>
          <w:vertAlign w:val="superscript"/>
          <w:rtl w:val="0"/>
        </w:rPr>
        <w:t xml:space="preserve">5</w:t>
      </w:r>
      <w:r w:rsidDel="00000000" w:rsidR="00000000" w:rsidRPr="00000000">
        <w:rPr>
          <w:rFonts w:ascii="Google Sans" w:cs="Google Sans" w:eastAsia="Google Sans" w:hAnsi="Google Sans"/>
          <w:color w:val="1f1f1f"/>
          <w:rtl w:val="0"/>
        </w:rPr>
        <w:t xml:space="preserve"> This consistency is supported by stringent anti-evasion measures, e-invoicing, data analytics, and monthly gross collections that routinely cross the ₹1.6 lakh crore threshold across the country.</w:t>
      </w:r>
    </w:p>
    <w:p w:rsidR="00000000" w:rsidDel="00000000" w:rsidP="00000000" w:rsidRDefault="00000000" w:rsidRPr="00000000" w14:paraId="00000057">
      <w:pPr>
        <w:pStyle w:val="Heading2"/>
        <w:pBdr>
          <w:top w:space="0" w:sz="0" w:val="nil"/>
          <w:left w:space="0" w:sz="0" w:val="nil"/>
          <w:bottom w:space="0" w:sz="0" w:val="nil"/>
          <w:right w:space="0" w:sz="0" w:val="nil"/>
          <w:between w:space="0" w:sz="0" w:val="nil"/>
        </w:pBdr>
        <w:shd w:fill="auto" w:val="clear"/>
        <w:spacing w:after="120" w:before="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Module 3: Expenditure Profiling &amp; Capital Outlay</w:t>
      </w:r>
    </w:p>
    <w:p w:rsidR="00000000" w:rsidDel="00000000" w:rsidP="00000000" w:rsidRDefault="00000000" w:rsidRPr="00000000" w14:paraId="00000058">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The Union Budget 2024-25 outlines a total expenditure estimate of ₹48,20,512 crore for FY25 (BE), which represents an 8.5% increase over the actual expenditure incurred in FY24.</w:t>
      </w:r>
      <w:r w:rsidDel="00000000" w:rsidR="00000000" w:rsidRPr="00000000">
        <w:rPr>
          <w:rFonts w:ascii="Google Sans" w:cs="Google Sans" w:eastAsia="Google Sans" w:hAnsi="Google Sans"/>
          <w:color w:val="444746"/>
          <w:sz w:val="24"/>
          <w:szCs w:val="24"/>
          <w:vertAlign w:val="superscript"/>
          <w:rtl w:val="0"/>
        </w:rPr>
        <w:t xml:space="preserve">1</w:t>
      </w:r>
    </w:p>
    <w:p w:rsidR="00000000" w:rsidDel="00000000" w:rsidP="00000000" w:rsidRDefault="00000000" w:rsidRPr="00000000" w14:paraId="00000059">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However, the headline expenditure number masks the qualitative transformation occurring within the budget. The cornerstone of the contemporary Indian fiscal strategy is the relentless, aggressive emphasis on Capital Expenditure (CapEx). While routine revenue expenditure is budgeted to grow at a highly restrained 6.2%, capital expenditure is budgeted to expand by a massive 17.1%.</w:t>
      </w:r>
      <w:r w:rsidDel="00000000" w:rsidR="00000000" w:rsidRPr="00000000">
        <w:rPr>
          <w:rFonts w:ascii="Google Sans" w:cs="Google Sans" w:eastAsia="Google Sans" w:hAnsi="Google Sans"/>
          <w:color w:val="444746"/>
          <w:sz w:val="24"/>
          <w:szCs w:val="24"/>
          <w:vertAlign w:val="superscript"/>
          <w:rtl w:val="0"/>
        </w:rPr>
        <w:t xml:space="preserve">1</w:t>
      </w:r>
    </w:p>
    <w:p w:rsidR="00000000" w:rsidDel="00000000" w:rsidP="00000000" w:rsidRDefault="00000000" w:rsidRPr="00000000" w14:paraId="0000005A">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The absolute Capital Expenditure Outlay for FY25 (BE) stands at ₹11,11,111 crore, equivalent to roughly 3.4% of GDP.</w:t>
      </w:r>
      <w:r w:rsidDel="00000000" w:rsidR="00000000" w:rsidRPr="00000000">
        <w:rPr>
          <w:rFonts w:ascii="Google Sans" w:cs="Google Sans" w:eastAsia="Google Sans" w:hAnsi="Google Sans"/>
          <w:color w:val="444746"/>
          <w:sz w:val="24"/>
          <w:szCs w:val="24"/>
          <w:vertAlign w:val="superscript"/>
          <w:rtl w:val="0"/>
        </w:rPr>
        <w:t xml:space="preserve">20</w:t>
      </w:r>
      <w:r w:rsidDel="00000000" w:rsidR="00000000" w:rsidRPr="00000000">
        <w:rPr>
          <w:rFonts w:ascii="Google Sans" w:cs="Google Sans" w:eastAsia="Google Sans" w:hAnsi="Google Sans"/>
          <w:color w:val="1f1f1f"/>
          <w:rtl w:val="0"/>
        </w:rPr>
        <w:t xml:space="preserve"> When combined with Grants-in-Aid provided to states for the creation of capital assets (₹3,90,778 crore), the "Effective Capital Expenditure" reaches a formidable ₹15.01 lakh crore.</w:t>
      </w:r>
      <w:r w:rsidDel="00000000" w:rsidR="00000000" w:rsidRPr="00000000">
        <w:rPr>
          <w:rFonts w:ascii="Google Sans" w:cs="Google Sans" w:eastAsia="Google Sans" w:hAnsi="Google Sans"/>
          <w:color w:val="444746"/>
          <w:sz w:val="24"/>
          <w:szCs w:val="24"/>
          <w:vertAlign w:val="superscript"/>
          <w:rtl w:val="0"/>
        </w:rPr>
        <w:t xml:space="preserve">17</w:t>
      </w:r>
    </w:p>
    <w:p w:rsidR="00000000" w:rsidDel="00000000" w:rsidP="00000000" w:rsidRDefault="00000000" w:rsidRPr="00000000" w14:paraId="0000005B">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Economic literature robustly demonstrates that capital expenditure exhibits a significantly higher fiscal multiplier compared to revenue expenditure. In the Indian context, the CapEx multiplier is estimated to be between 2.45 and 3.14 (meaning every ₹1 spent on infrastructure generates ₹2.45 to ₹3.14 in economic output over the medium term), whereas the revenue expenditure multiplier is estimated at less than 1 (approximately 0.9).</w:t>
      </w:r>
      <w:r w:rsidDel="00000000" w:rsidR="00000000" w:rsidRPr="00000000">
        <w:rPr>
          <w:rFonts w:ascii="Google Sans" w:cs="Google Sans" w:eastAsia="Google Sans" w:hAnsi="Google Sans"/>
          <w:color w:val="444746"/>
          <w:sz w:val="24"/>
          <w:szCs w:val="24"/>
          <w:vertAlign w:val="superscript"/>
          <w:rtl w:val="0"/>
        </w:rPr>
        <w:t xml:space="preserve">4</w:t>
      </w:r>
      <w:r w:rsidDel="00000000" w:rsidR="00000000" w:rsidRPr="00000000">
        <w:rPr>
          <w:rFonts w:ascii="Google Sans" w:cs="Google Sans" w:eastAsia="Google Sans" w:hAnsi="Google Sans"/>
          <w:color w:val="1f1f1f"/>
          <w:rtl w:val="0"/>
        </w:rPr>
        <w:t xml:space="preserve"> Therefore, prioritizing CapEx directly accelerates the crowding-in of private investment, improves multi-modal logistics efficiencies, reduces supply-side inflation by easing bottlenecks, and permanently lifts the aggregate potential growth frontier of the economy.</w:t>
      </w:r>
      <w:r w:rsidDel="00000000" w:rsidR="00000000" w:rsidRPr="00000000">
        <w:rPr>
          <w:rFonts w:ascii="Google Sans" w:cs="Google Sans" w:eastAsia="Google Sans" w:hAnsi="Google Sans"/>
          <w:color w:val="444746"/>
          <w:sz w:val="24"/>
          <w:szCs w:val="24"/>
          <w:vertAlign w:val="superscript"/>
          <w:rtl w:val="0"/>
        </w:rPr>
        <w:t xml:space="preserve">4</w:t>
      </w:r>
    </w:p>
    <w:p w:rsidR="00000000" w:rsidDel="00000000" w:rsidP="00000000" w:rsidRDefault="00000000" w:rsidRPr="00000000" w14:paraId="0000005C">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Top 5 Sectors/Ministries by Capital Expenditure Outlay (FY25 BE)</w:t>
      </w:r>
    </w:p>
    <w:p w:rsidR="00000000" w:rsidDel="00000000" w:rsidP="00000000" w:rsidRDefault="00000000" w:rsidRPr="00000000" w14:paraId="0000005D">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To understand where the ₹11.11 lakh crore capital outlay is being deployed, one must analyze the specific departmental allocations. The following table arranges the top five ministries and departmental heads strictly in descending order based </w:t>
      </w:r>
      <w:r w:rsidDel="00000000" w:rsidR="00000000" w:rsidRPr="00000000">
        <w:rPr>
          <w:rFonts w:ascii="Google Sans" w:cs="Google Sans" w:eastAsia="Google Sans" w:hAnsi="Google Sans"/>
          <w:i w:val="1"/>
          <w:iCs w:val="1"/>
          <w:color w:val="1f1f1f"/>
          <w:rtl w:val="0"/>
        </w:rPr>
        <w:t xml:space="preserve">only</w:t>
      </w:r>
      <w:r w:rsidDel="00000000" w:rsidR="00000000" w:rsidRPr="00000000">
        <w:rPr>
          <w:rFonts w:ascii="Google Sans" w:cs="Google Sans" w:eastAsia="Google Sans" w:hAnsi="Google Sans"/>
          <w:color w:val="1f1f1f"/>
          <w:rtl w:val="0"/>
        </w:rPr>
        <w:t xml:space="preserve"> on their Capital Outlay (including capital advances and loans integral to asset creation), explicitly excluding their revenue expenditure.</w:t>
      </w:r>
    </w:p>
    <w:p w:rsidR="00000000" w:rsidDel="00000000" w:rsidP="00000000" w:rsidRDefault="00000000" w:rsidRPr="00000000" w14:paraId="0000005E">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Table 4: Top 5 Ministries by Capital Expenditure Outlay (FY25 BE)</w:t>
      </w:r>
    </w:p>
    <w:tbl>
      <w:tblPr>
        <w:tblStyle w:val="Table4"/>
        <w:tblW w:w="936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5F">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Rank</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60">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Ministry / Sector</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61">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Capital Expenditure Outlay (₹ in Crore)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62">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Primary Focus Areas</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63">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1</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64">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Ministry of Road Transport and Highways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65">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₹2,72,241 crore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66">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National High-Speed Corridors, Bharatmala Pariyojana, Expressways</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67">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2</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68">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Ministry of Railways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69">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₹2,52,000 crore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6A">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Vande Bharat bogies, Track Electrification, Kavach System</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6B">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3</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6C">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Ministry of Defence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6D">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₹1,72,000 crore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6E">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Armed Forces Modernization, Indigenous Hardware Procurement</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6F">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4</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70">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Ministry of Finance (Transfers to States)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71">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₹1,62,412 crore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72">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50-Year Interest-Free Capital Loans to State Governments</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73">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5</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74">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Department of Communications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75">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₹83,478 crore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76">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BSNL Capital Infusion, 4G/5G Spectrum, Rural Connectivity</w:t>
            </w:r>
          </w:p>
        </w:tc>
      </w:tr>
    </w:tbl>
    <w:p w:rsidR="00000000" w:rsidDel="00000000" w:rsidP="00000000" w:rsidRDefault="00000000" w:rsidRPr="00000000" w14:paraId="00000077">
      <w:pPr>
        <w:pBdr>
          <w:top w:space="0" w:sz="0" w:val="nil"/>
          <w:left w:space="0" w:sz="0" w:val="nil"/>
          <w:bottom w:space="0" w:sz="0" w:val="nil"/>
          <w:right w:space="0" w:sz="0" w:val="nil"/>
          <w:between w:space="0" w:sz="0" w:val="nil"/>
        </w:pBdr>
        <w:shd w:fill="auto" w:val="clear"/>
        <w:spacing w:after="240" w:before="48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Data Note: The rankings and exact financial figures are extracted from the "Major Variations of Expenditure" and "Expenditure of Ministries and Departments" (Statements 2B and 3) of the Union Budget 2024-25 Expenditure Profile.</w:t>
      </w:r>
      <w:r w:rsidDel="00000000" w:rsidR="00000000" w:rsidRPr="00000000">
        <w:rPr>
          <w:rFonts w:ascii="Google Sans" w:cs="Google Sans" w:eastAsia="Google Sans" w:hAnsi="Google Sans"/>
          <w:color w:val="444746"/>
          <w:sz w:val="24"/>
          <w:szCs w:val="24"/>
          <w:vertAlign w:val="superscript"/>
          <w:rtl w:val="0"/>
        </w:rPr>
        <w:t xml:space="preserve">22</w:t>
      </w:r>
    </w:p>
    <w:p w:rsidR="00000000" w:rsidDel="00000000" w:rsidP="00000000" w:rsidRDefault="00000000" w:rsidRPr="00000000" w14:paraId="00000078">
      <w:pPr>
        <w:pStyle w:val="Heading4"/>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In-Depth Analysis of Capital Deployments</w:t>
      </w:r>
    </w:p>
    <w:p w:rsidR="00000000" w:rsidDel="00000000" w:rsidP="00000000" w:rsidRDefault="00000000" w:rsidRPr="00000000" w14:paraId="00000079">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b w:val="1"/>
          <w:bCs w:val="1"/>
          <w:color w:val="1f1f1f"/>
          <w:rtl w:val="0"/>
        </w:rPr>
        <w:t xml:space="preserve">1. Ministry of Road Transport and Highways (MoRTH): ₹2,72,241 crore</w:t>
      </w:r>
      <w:r w:rsidDel="00000000" w:rsidR="00000000" w:rsidRPr="00000000">
        <w:rPr>
          <w:rFonts w:ascii="Google Sans" w:cs="Google Sans" w:eastAsia="Google Sans" w:hAnsi="Google Sans"/>
          <w:color w:val="1f1f1f"/>
          <w:rtl w:val="0"/>
        </w:rPr>
        <w:t xml:space="preserve"> Out of MoRTH's total budgetary allocation of ₹2,78,000 crore, an overwhelming majority (₹2,72,241 crore) is earmarked strictly for capital expenditure.</w:t>
      </w:r>
      <w:r w:rsidDel="00000000" w:rsidR="00000000" w:rsidRPr="00000000">
        <w:rPr>
          <w:rFonts w:ascii="Google Sans" w:cs="Google Sans" w:eastAsia="Google Sans" w:hAnsi="Google Sans"/>
          <w:color w:val="444746"/>
          <w:sz w:val="24"/>
          <w:szCs w:val="24"/>
          <w:vertAlign w:val="superscript"/>
          <w:rtl w:val="0"/>
        </w:rPr>
        <w:t xml:space="preserve">23</w:t>
      </w:r>
      <w:r w:rsidDel="00000000" w:rsidR="00000000" w:rsidRPr="00000000">
        <w:rPr>
          <w:rFonts w:ascii="Google Sans" w:cs="Google Sans" w:eastAsia="Google Sans" w:hAnsi="Google Sans"/>
          <w:color w:val="1f1f1f"/>
          <w:rtl w:val="0"/>
        </w:rPr>
        <w:t xml:space="preserve"> This funding is the lifeblood of the Bharatmala Pariyojana and the development of National High-Speed Corridors. Over the last decade, capital expenditure on National Highways has increased drastically, expanding the network from 91,287 km in 2014 to 1,46,204 km presently.</w:t>
      </w:r>
      <w:r w:rsidDel="00000000" w:rsidR="00000000" w:rsidRPr="00000000">
        <w:rPr>
          <w:rFonts w:ascii="Google Sans" w:cs="Google Sans" w:eastAsia="Google Sans" w:hAnsi="Google Sans"/>
          <w:color w:val="444746"/>
          <w:sz w:val="24"/>
          <w:szCs w:val="24"/>
          <w:vertAlign w:val="superscript"/>
          <w:rtl w:val="0"/>
        </w:rPr>
        <w:t xml:space="preserve">25</w:t>
      </w:r>
      <w:r w:rsidDel="00000000" w:rsidR="00000000" w:rsidRPr="00000000">
        <w:rPr>
          <w:rFonts w:ascii="Google Sans" w:cs="Google Sans" w:eastAsia="Google Sans" w:hAnsi="Google Sans"/>
          <w:color w:val="1f1f1f"/>
          <w:rtl w:val="0"/>
        </w:rPr>
        <w:t xml:space="preserve"> The aggressive capital outlay targets the operationalization of multi-modal logistics parks, which are critical to reducing India's high logistics costs from an estimated 13-14% of GDP down to global standards of 8-10%, thereby enhancing export competitiveness.</w:t>
      </w:r>
      <w:r w:rsidDel="00000000" w:rsidR="00000000" w:rsidRPr="00000000">
        <w:rPr>
          <w:rFonts w:ascii="Google Sans" w:cs="Google Sans" w:eastAsia="Google Sans" w:hAnsi="Google Sans"/>
          <w:color w:val="444746"/>
          <w:sz w:val="24"/>
          <w:szCs w:val="24"/>
          <w:vertAlign w:val="superscript"/>
          <w:rtl w:val="0"/>
        </w:rPr>
        <w:t xml:space="preserve">26</w:t>
      </w:r>
      <w:r w:rsidDel="00000000" w:rsidR="00000000" w:rsidRPr="00000000">
        <w:rPr>
          <w:rFonts w:ascii="Google Sans" w:cs="Google Sans" w:eastAsia="Google Sans" w:hAnsi="Google Sans"/>
          <w:color w:val="1f1f1f"/>
          <w:rtl w:val="0"/>
        </w:rPr>
        <w:t xml:space="preserve"> It is also worth noting that the National Highways Authority of India (NHAI) receives the bulk of this allocation to sustain construction momentum without relying on external market borrowings, which helps contain the NHAI's debt-servicing burden.</w:t>
      </w:r>
      <w:r w:rsidDel="00000000" w:rsidR="00000000" w:rsidRPr="00000000">
        <w:rPr>
          <w:rFonts w:ascii="Google Sans" w:cs="Google Sans" w:eastAsia="Google Sans" w:hAnsi="Google Sans"/>
          <w:color w:val="444746"/>
          <w:sz w:val="24"/>
          <w:szCs w:val="24"/>
          <w:vertAlign w:val="superscript"/>
          <w:rtl w:val="0"/>
        </w:rPr>
        <w:t xml:space="preserve">24</w:t>
      </w:r>
    </w:p>
    <w:p w:rsidR="00000000" w:rsidDel="00000000" w:rsidP="00000000" w:rsidRDefault="00000000" w:rsidRPr="00000000" w14:paraId="0000007A">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b w:val="1"/>
          <w:bCs w:val="1"/>
          <w:color w:val="1f1f1f"/>
          <w:rtl w:val="0"/>
        </w:rPr>
        <w:t xml:space="preserve">2. Ministry of Railways: ₹2,52,000 crore</w:t>
      </w:r>
      <w:r w:rsidDel="00000000" w:rsidR="00000000" w:rsidRPr="00000000">
        <w:rPr>
          <w:rFonts w:ascii="Google Sans" w:cs="Google Sans" w:eastAsia="Google Sans" w:hAnsi="Google Sans"/>
          <w:color w:val="1f1f1f"/>
          <w:rtl w:val="0"/>
        </w:rPr>
        <w:t xml:space="preserve"> The entire allocation of ₹2,52,000 crore to the Ministry of Railways is fundamentally a capital outlay designed to modernize the world's fourth-largest railway network.</w:t>
      </w:r>
      <w:r w:rsidDel="00000000" w:rsidR="00000000" w:rsidRPr="00000000">
        <w:rPr>
          <w:rFonts w:ascii="Google Sans" w:cs="Google Sans" w:eastAsia="Google Sans" w:hAnsi="Google Sans"/>
          <w:color w:val="444746"/>
          <w:sz w:val="24"/>
          <w:szCs w:val="24"/>
          <w:vertAlign w:val="superscript"/>
          <w:rtl w:val="0"/>
        </w:rPr>
        <w:t xml:space="preserve">22</w:t>
      </w:r>
      <w:r w:rsidDel="00000000" w:rsidR="00000000" w:rsidRPr="00000000">
        <w:rPr>
          <w:rFonts w:ascii="Google Sans" w:cs="Google Sans" w:eastAsia="Google Sans" w:hAnsi="Google Sans"/>
          <w:color w:val="1f1f1f"/>
          <w:rtl w:val="0"/>
        </w:rPr>
        <w:t xml:space="preserve"> This represents an increase over the RE 2023-24 figures and is completely devoid of revenue deficit funding. Key priorities for this capital include the conversion of 40,000 conventional rail bogies to modern Vande Bharat standards to enhance passenger safety and comfort.</w:t>
      </w:r>
      <w:r w:rsidDel="00000000" w:rsidR="00000000" w:rsidRPr="00000000">
        <w:rPr>
          <w:rFonts w:ascii="Google Sans" w:cs="Google Sans" w:eastAsia="Google Sans" w:hAnsi="Google Sans"/>
          <w:color w:val="444746"/>
          <w:sz w:val="24"/>
          <w:szCs w:val="24"/>
          <w:vertAlign w:val="superscript"/>
          <w:rtl w:val="0"/>
        </w:rPr>
        <w:t xml:space="preserve">20</w:t>
      </w:r>
      <w:r w:rsidDel="00000000" w:rsidR="00000000" w:rsidRPr="00000000">
        <w:rPr>
          <w:rFonts w:ascii="Google Sans" w:cs="Google Sans" w:eastAsia="Google Sans" w:hAnsi="Google Sans"/>
          <w:color w:val="1f1f1f"/>
          <w:rtl w:val="0"/>
        </w:rPr>
        <w:t xml:space="preserve"> Additionally, the funds are designated for 100% track electrification, the construction of new lines to decongest existing high-density freight corridors, and the rapid deployment of the indigenous anti-collision technology known as 'Kavach'.</w:t>
      </w:r>
      <w:r w:rsidDel="00000000" w:rsidR="00000000" w:rsidRPr="00000000">
        <w:rPr>
          <w:rFonts w:ascii="Google Sans" w:cs="Google Sans" w:eastAsia="Google Sans" w:hAnsi="Google Sans"/>
          <w:color w:val="444746"/>
          <w:sz w:val="24"/>
          <w:szCs w:val="24"/>
          <w:vertAlign w:val="superscript"/>
          <w:rtl w:val="0"/>
        </w:rPr>
        <w:t xml:space="preserve">20</w:t>
      </w:r>
    </w:p>
    <w:p w:rsidR="00000000" w:rsidDel="00000000" w:rsidP="00000000" w:rsidRDefault="00000000" w:rsidRPr="00000000" w14:paraId="0000007B">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b w:val="1"/>
          <w:bCs w:val="1"/>
          <w:color w:val="1f1f1f"/>
          <w:rtl w:val="0"/>
        </w:rPr>
        <w:t xml:space="preserve">3. Ministry of Defence (Capital Outlay on Defence Services): ₹1,72,000 crore</w:t>
      </w:r>
      <w:r w:rsidDel="00000000" w:rsidR="00000000" w:rsidRPr="00000000">
        <w:rPr>
          <w:rFonts w:ascii="Google Sans" w:cs="Google Sans" w:eastAsia="Google Sans" w:hAnsi="Google Sans"/>
          <w:color w:val="1f1f1f"/>
          <w:rtl w:val="0"/>
        </w:rPr>
        <w:t xml:space="preserve"> While the Ministry of Defence holds the highest </w:t>
      </w:r>
      <w:r w:rsidDel="00000000" w:rsidR="00000000" w:rsidRPr="00000000">
        <w:rPr>
          <w:rFonts w:ascii="Google Sans" w:cs="Google Sans" w:eastAsia="Google Sans" w:hAnsi="Google Sans"/>
          <w:i w:val="1"/>
          <w:iCs w:val="1"/>
          <w:color w:val="1f1f1f"/>
          <w:rtl w:val="0"/>
        </w:rPr>
        <w:t xml:space="preserve">total</w:t>
      </w:r>
      <w:r w:rsidDel="00000000" w:rsidR="00000000" w:rsidRPr="00000000">
        <w:rPr>
          <w:rFonts w:ascii="Google Sans" w:cs="Google Sans" w:eastAsia="Google Sans" w:hAnsi="Google Sans"/>
          <w:color w:val="1f1f1f"/>
          <w:rtl w:val="0"/>
        </w:rPr>
        <w:t xml:space="preserve"> budget allocation across all ministries at ₹6,21,941 crore (which includes massive revenue expenditures like salaries and a ₹1.41 lakh crore pension bill), its specific </w:t>
      </w:r>
      <w:r w:rsidDel="00000000" w:rsidR="00000000" w:rsidRPr="00000000">
        <w:rPr>
          <w:rFonts w:ascii="Google Sans" w:cs="Google Sans" w:eastAsia="Google Sans" w:hAnsi="Google Sans"/>
          <w:i w:val="1"/>
          <w:iCs w:val="1"/>
          <w:color w:val="1f1f1f"/>
          <w:rtl w:val="0"/>
        </w:rPr>
        <w:t xml:space="preserve">Capital Outlay</w:t>
      </w:r>
      <w:r w:rsidDel="00000000" w:rsidR="00000000" w:rsidRPr="00000000">
        <w:rPr>
          <w:rFonts w:ascii="Google Sans" w:cs="Google Sans" w:eastAsia="Google Sans" w:hAnsi="Google Sans"/>
          <w:color w:val="1f1f1f"/>
          <w:rtl w:val="0"/>
        </w:rPr>
        <w:t xml:space="preserve"> is ring-fenced at ₹1,72,000 crore.</w:t>
      </w:r>
      <w:r w:rsidDel="00000000" w:rsidR="00000000" w:rsidRPr="00000000">
        <w:rPr>
          <w:rFonts w:ascii="Google Sans" w:cs="Google Sans" w:eastAsia="Google Sans" w:hAnsi="Google Sans"/>
          <w:color w:val="444746"/>
          <w:sz w:val="24"/>
          <w:szCs w:val="24"/>
          <w:vertAlign w:val="superscript"/>
          <w:rtl w:val="0"/>
        </w:rPr>
        <w:t xml:space="preserve">22</w:t>
      </w:r>
      <w:r w:rsidDel="00000000" w:rsidR="00000000" w:rsidRPr="00000000">
        <w:rPr>
          <w:rFonts w:ascii="Google Sans" w:cs="Google Sans" w:eastAsia="Google Sans" w:hAnsi="Google Sans"/>
          <w:color w:val="1f1f1f"/>
          <w:rtl w:val="0"/>
        </w:rPr>
        <w:t xml:space="preserve"> This capital allocation is strictly restricted to defense acquisitions, the modernization of the armed forces, and the procurement of state-of-the-art weaponry.</w:t>
      </w:r>
      <w:r w:rsidDel="00000000" w:rsidR="00000000" w:rsidRPr="00000000">
        <w:rPr>
          <w:rFonts w:ascii="Google Sans" w:cs="Google Sans" w:eastAsia="Google Sans" w:hAnsi="Google Sans"/>
          <w:color w:val="444746"/>
          <w:sz w:val="24"/>
          <w:szCs w:val="24"/>
          <w:vertAlign w:val="superscript"/>
          <w:rtl w:val="0"/>
        </w:rPr>
        <w:t xml:space="preserve">27</w:t>
      </w:r>
      <w:r w:rsidDel="00000000" w:rsidR="00000000" w:rsidRPr="00000000">
        <w:rPr>
          <w:rFonts w:ascii="Google Sans" w:cs="Google Sans" w:eastAsia="Google Sans" w:hAnsi="Google Sans"/>
          <w:color w:val="1f1f1f"/>
          <w:rtl w:val="0"/>
        </w:rPr>
        <w:t xml:space="preserve"> A defining macroeconomic shift within this allocation is the mandate to channel a substantial portion (₹1,05,518 crore) toward domestic industries. By enforcing positive indigenization lists, this capital outlay acts as an industrial policy tool, reducing external dependency for critical hardware and fostering an indigenous defense manufacturing ecosystem under the Aatmanirbhar Bharat framework.</w:t>
      </w:r>
      <w:r w:rsidDel="00000000" w:rsidR="00000000" w:rsidRPr="00000000">
        <w:rPr>
          <w:rFonts w:ascii="Google Sans" w:cs="Google Sans" w:eastAsia="Google Sans" w:hAnsi="Google Sans"/>
          <w:color w:val="444746"/>
          <w:sz w:val="24"/>
          <w:szCs w:val="24"/>
          <w:vertAlign w:val="superscript"/>
          <w:rtl w:val="0"/>
        </w:rPr>
        <w:t xml:space="preserve">28</w:t>
      </w:r>
    </w:p>
    <w:p w:rsidR="00000000" w:rsidDel="00000000" w:rsidP="00000000" w:rsidRDefault="00000000" w:rsidRPr="00000000" w14:paraId="0000007C">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b w:val="1"/>
          <w:bCs w:val="1"/>
          <w:color w:val="1f1f1f"/>
          <w:rtl w:val="0"/>
        </w:rPr>
        <w:t xml:space="preserve">4. Ministry of Finance (Transfers / Loans and Advances to States): ₹1,62,412 crore</w:t>
      </w:r>
      <w:r w:rsidDel="00000000" w:rsidR="00000000" w:rsidRPr="00000000">
        <w:rPr>
          <w:rFonts w:ascii="Google Sans" w:cs="Google Sans" w:eastAsia="Google Sans" w:hAnsi="Google Sans"/>
          <w:color w:val="1f1f1f"/>
          <w:rtl w:val="0"/>
        </w:rPr>
        <w:t xml:space="preserve"> Listed under the capital portion of transfers within the Ministry of Finance, this massive outlay is driven primarily by the "Scheme for Special Assistance to States for Capital Expenditure".</w:t>
      </w:r>
      <w:r w:rsidDel="00000000" w:rsidR="00000000" w:rsidRPr="00000000">
        <w:rPr>
          <w:rFonts w:ascii="Google Sans" w:cs="Google Sans" w:eastAsia="Google Sans" w:hAnsi="Google Sans"/>
          <w:color w:val="444746"/>
          <w:sz w:val="24"/>
          <w:szCs w:val="24"/>
          <w:vertAlign w:val="superscript"/>
          <w:rtl w:val="0"/>
        </w:rPr>
        <w:t xml:space="preserve">6</w:t>
      </w:r>
      <w:r w:rsidDel="00000000" w:rsidR="00000000" w:rsidRPr="00000000">
        <w:rPr>
          <w:rFonts w:ascii="Google Sans" w:cs="Google Sans" w:eastAsia="Google Sans" w:hAnsi="Google Sans"/>
          <w:color w:val="1f1f1f"/>
          <w:rtl w:val="0"/>
        </w:rPr>
        <w:t xml:space="preserve"> Under this scheme, the Union government provides 50-year interest-free loans to state governments, explicitly tied to capital investment.</w:t>
      </w:r>
      <w:r w:rsidDel="00000000" w:rsidR="00000000" w:rsidRPr="00000000">
        <w:rPr>
          <w:rFonts w:ascii="Google Sans" w:cs="Google Sans" w:eastAsia="Google Sans" w:hAnsi="Google Sans"/>
          <w:color w:val="444746"/>
          <w:sz w:val="24"/>
          <w:szCs w:val="24"/>
          <w:vertAlign w:val="superscript"/>
          <w:rtl w:val="0"/>
        </w:rPr>
        <w:t xml:space="preserve">2</w:t>
      </w:r>
      <w:r w:rsidDel="00000000" w:rsidR="00000000" w:rsidRPr="00000000">
        <w:rPr>
          <w:rFonts w:ascii="Google Sans" w:cs="Google Sans" w:eastAsia="Google Sans" w:hAnsi="Google Sans"/>
          <w:color w:val="1f1f1f"/>
          <w:rtl w:val="0"/>
        </w:rPr>
        <w:t xml:space="preserve"> This mechanism is a brilliant innovation in fiscal federalism. State governments traditionally bear the brunt of local infrastructure development but are strictly constrained by their own FRBM limits (usually 3% of Gross State Domestic Product). By providing interest-free, long-term capital outside of standard borrowing limits, the Union government ensures horizontal infrastructure alignment across the country without straining state fiscal deficits.</w:t>
      </w:r>
      <w:r w:rsidDel="00000000" w:rsidR="00000000" w:rsidRPr="00000000">
        <w:rPr>
          <w:rFonts w:ascii="Google Sans" w:cs="Google Sans" w:eastAsia="Google Sans" w:hAnsi="Google Sans"/>
          <w:color w:val="444746"/>
          <w:sz w:val="24"/>
          <w:szCs w:val="24"/>
          <w:vertAlign w:val="superscript"/>
          <w:rtl w:val="0"/>
        </w:rPr>
        <w:t xml:space="preserve">2</w:t>
      </w:r>
    </w:p>
    <w:p w:rsidR="00000000" w:rsidDel="00000000" w:rsidP="00000000" w:rsidRDefault="00000000" w:rsidRPr="00000000" w14:paraId="0000007D">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b w:val="1"/>
          <w:bCs w:val="1"/>
          <w:color w:val="1f1f1f"/>
          <w:rtl w:val="0"/>
        </w:rPr>
        <w:t xml:space="preserve">5. Department of Communications: ₹83,478 crore</w:t>
      </w:r>
      <w:r w:rsidDel="00000000" w:rsidR="00000000" w:rsidRPr="00000000">
        <w:rPr>
          <w:rFonts w:ascii="Google Sans" w:cs="Google Sans" w:eastAsia="Google Sans" w:hAnsi="Google Sans"/>
          <w:color w:val="1f1f1f"/>
          <w:rtl w:val="0"/>
        </w:rPr>
        <w:t xml:space="preserve"> The inclusion of the Department of Communications in the top five capital outlays highlights the government's pivot toward digital infrastructure.</w:t>
      </w:r>
      <w:r w:rsidDel="00000000" w:rsidR="00000000" w:rsidRPr="00000000">
        <w:rPr>
          <w:rFonts w:ascii="Google Sans" w:cs="Google Sans" w:eastAsia="Google Sans" w:hAnsi="Google Sans"/>
          <w:color w:val="444746"/>
          <w:sz w:val="24"/>
          <w:szCs w:val="24"/>
          <w:vertAlign w:val="superscript"/>
          <w:rtl w:val="0"/>
        </w:rPr>
        <w:t xml:space="preserve">22</w:t>
      </w:r>
      <w:r w:rsidDel="00000000" w:rsidR="00000000" w:rsidRPr="00000000">
        <w:rPr>
          <w:rFonts w:ascii="Google Sans" w:cs="Google Sans" w:eastAsia="Google Sans" w:hAnsi="Google Sans"/>
          <w:color w:val="1f1f1f"/>
          <w:rtl w:val="0"/>
        </w:rPr>
        <w:t xml:space="preserve"> A dominant driver for this high capital outlay is the systemic capital infusion into Bharat Sanchar Nigam Limited (BSNL). This funding is not for operational bailouts, but specifically to fund the rollout of indigenous 4G and 5G spectrum deployment, modernize legacy telecom networks, and ensure that high-speed digital connectivity reaches remote rural geographies.</w:t>
      </w:r>
      <w:r w:rsidDel="00000000" w:rsidR="00000000" w:rsidRPr="00000000">
        <w:rPr>
          <w:rFonts w:ascii="Google Sans" w:cs="Google Sans" w:eastAsia="Google Sans" w:hAnsi="Google Sans"/>
          <w:color w:val="444746"/>
          <w:sz w:val="24"/>
          <w:szCs w:val="24"/>
          <w:vertAlign w:val="superscript"/>
          <w:rtl w:val="0"/>
        </w:rPr>
        <w:t xml:space="preserve">22</w:t>
      </w:r>
      <w:r w:rsidDel="00000000" w:rsidR="00000000" w:rsidRPr="00000000">
        <w:rPr>
          <w:rFonts w:ascii="Google Sans" w:cs="Google Sans" w:eastAsia="Google Sans" w:hAnsi="Google Sans"/>
          <w:color w:val="1f1f1f"/>
          <w:rtl w:val="0"/>
        </w:rPr>
        <w:t xml:space="preserve"> This aligns with broader objectives of the digital economy, ensuring that the foundational physical infrastructure for digital public goods (like UPI and ONDC) reaches the last mile.</w:t>
      </w:r>
    </w:p>
    <w:p w:rsidR="00000000" w:rsidDel="00000000" w:rsidP="00000000" w:rsidRDefault="00000000" w:rsidRPr="00000000" w14:paraId="0000007E">
      <w:pPr>
        <w:pStyle w:val="Heading2"/>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Module 4: Fiscal Federalism &amp; Finance Commissions</w:t>
      </w:r>
    </w:p>
    <w:p w:rsidR="00000000" w:rsidDel="00000000" w:rsidP="00000000" w:rsidRDefault="00000000" w:rsidRPr="00000000" w14:paraId="0000007F">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The Finance Commission, constituted by the President of India under Article 280 of the Constitution, is the constitutional fulcrum of Indian fiscal federalism. Because the Indian Constitution grants the Union government the power to levy the most buoyant taxes (Income Tax, Corporate Tax, Customs) while assigning the most expenditure-heavy responsibilities (public order, health, agriculture) to the States, a vertical fiscal imbalance is inherent.</w:t>
      </w:r>
    </w:p>
    <w:p w:rsidR="00000000" w:rsidDel="00000000" w:rsidP="00000000" w:rsidRDefault="00000000" w:rsidRPr="00000000" w14:paraId="00000080">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The Finance Commission's primary mandate is to correct this by determining the vertical devolution (the exact percentage of net central tax proceeds distributed to the States) and horizontal devolution (the mathematical formula deciding how that aggregate pool is distributed among the individual 28 states).</w:t>
      </w:r>
    </w:p>
    <w:p w:rsidR="00000000" w:rsidDel="00000000" w:rsidP="00000000" w:rsidRDefault="00000000" w:rsidRPr="00000000" w14:paraId="00000081">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As the tax base, economic priorities, and demographic profiles of states evolve, the parameters utilized by successive Finance Commissions have adapted. There has been a distinct shift away from utilizing outdated 1971 population metrics towards rewarding demographic performance, preserving forest cover, improving tax effort, and bridging the income distance between wealthy and poorer states.</w:t>
      </w:r>
    </w:p>
    <w:p w:rsidR="00000000" w:rsidDel="00000000" w:rsidP="00000000" w:rsidRDefault="00000000" w:rsidRPr="00000000" w14:paraId="00000082">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Chronological List of Finance Commissions (12th to 16th)</w:t>
      </w:r>
    </w:p>
    <w:p w:rsidR="00000000" w:rsidDel="00000000" w:rsidP="00000000" w:rsidRDefault="00000000" w:rsidRPr="00000000" w14:paraId="00000083">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The following sequence details the Chairpersons and the specific operational periods for the respective Finance Commissions, providing crucial historical context for their specific mandates.</w:t>
      </w:r>
    </w:p>
    <w:p w:rsidR="00000000" w:rsidDel="00000000" w:rsidP="00000000" w:rsidRDefault="00000000" w:rsidRPr="00000000" w14:paraId="00000084">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Table 5: Chronology of Recent Finance Commissions</w:t>
      </w:r>
    </w:p>
    <w:tbl>
      <w:tblPr>
        <w:tblStyle w:val="Table5"/>
        <w:tblW w:w="936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85">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Finance Commission</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86">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Chairperson</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87">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Operational Period</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88">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Key Devolution Shift</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89">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12th Finance Commission</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8A">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Dr. C. Rangarajan</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8B">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2005 – 2010</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8C">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30.5%</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8D">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13th Finance Commission</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8E">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Dr. Vijay L. Kelkar</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8F">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2010 – 2015</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90">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32.0%</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91">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14th Finance Commission</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92">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Dr. Y. V. Reddy</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93">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2015 – 2020</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94">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42.0%</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95">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15th Finance Commission</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96">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N. K. Singh</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97">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2020 – 2021 &amp; 2021 – 2026</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98">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41.0%</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99">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16th Finance Commission</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9A">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Dr. Arvind Panagariya</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9B">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2026 – 2031</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9C">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i w:val="1"/>
                <w:iCs w:val="1"/>
                <w:color w:val="1f1f1f"/>
                <w:shd w:fill="auto" w:val="clear"/>
              </w:rPr>
            </w:pPr>
            <w:r w:rsidDel="00000000" w:rsidR="00000000" w:rsidRPr="00000000">
              <w:rPr>
                <w:rFonts w:ascii="Google Sans" w:cs="Google Sans" w:eastAsia="Google Sans" w:hAnsi="Google Sans"/>
                <w:i w:val="1"/>
                <w:iCs w:val="1"/>
                <w:color w:val="1f1f1f"/>
                <w:shd w:fill="auto" w:val="clear"/>
                <w:rtl w:val="0"/>
              </w:rPr>
              <w:t xml:space="preserve">(Currently Deliberating)</w:t>
            </w:r>
          </w:p>
        </w:tc>
      </w:tr>
    </w:tbl>
    <w:p w:rsidR="00000000" w:rsidDel="00000000" w:rsidP="00000000" w:rsidRDefault="00000000" w:rsidRPr="00000000" w14:paraId="0000009D">
      <w:pPr>
        <w:pBdr>
          <w:top w:space="0" w:sz="0" w:val="nil"/>
          <w:left w:space="0" w:sz="0" w:val="nil"/>
          <w:bottom w:space="0" w:sz="0" w:val="nil"/>
          <w:right w:space="0" w:sz="0" w:val="nil"/>
          <w:between w:space="0" w:sz="0" w:val="nil"/>
        </w:pBdr>
        <w:shd w:fill="auto" w:val="clear"/>
        <w:spacing w:after="240" w:before="48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Data Note: The chronologies and chairmanships are historically absolute and corroborated by official constitutional notifications and the Ministry of Finance.</w:t>
      </w:r>
      <w:r w:rsidDel="00000000" w:rsidR="00000000" w:rsidRPr="00000000">
        <w:rPr>
          <w:rFonts w:ascii="Google Sans" w:cs="Google Sans" w:eastAsia="Google Sans" w:hAnsi="Google Sans"/>
          <w:color w:val="444746"/>
          <w:sz w:val="24"/>
          <w:szCs w:val="24"/>
          <w:vertAlign w:val="superscript"/>
          <w:rtl w:val="0"/>
        </w:rPr>
        <w:t xml:space="preserve">30</w:t>
      </w:r>
    </w:p>
    <w:p w:rsidR="00000000" w:rsidDel="00000000" w:rsidP="00000000" w:rsidRDefault="00000000" w:rsidRPr="00000000" w14:paraId="0000009E">
      <w:pPr>
        <w:pStyle w:val="Heading4"/>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Contextual Deep-Dive into the Commissions</w:t>
      </w:r>
    </w:p>
    <w:p w:rsidR="00000000" w:rsidDel="00000000" w:rsidP="00000000" w:rsidRDefault="00000000" w:rsidRPr="00000000" w14:paraId="0000009F">
      <w:pPr>
        <w:numPr>
          <w:ilvl w:val="0"/>
          <w:numId w:val="2"/>
        </w:numPr>
        <w:pBdr>
          <w:top w:space="0" w:sz="0" w:val="nil"/>
          <w:left w:space="0" w:sz="0" w:val="nil"/>
          <w:bottom w:space="0" w:sz="0" w:val="nil"/>
          <w:right w:space="0" w:sz="0" w:val="nil"/>
          <w:between w:space="0" w:sz="0" w:val="nil"/>
        </w:pBdr>
        <w:shd w:fill="auto" w:val="clear"/>
        <w:spacing w:after="0" w:afterAutospacing="0" w:line="275.9999942779541" w:lineRule="auto"/>
        <w:ind w:left="465" w:hanging="360"/>
      </w:pPr>
      <w:r w:rsidDel="00000000" w:rsidR="00000000" w:rsidRPr="00000000">
        <w:rPr>
          <w:rFonts w:ascii="Google Sans" w:cs="Google Sans" w:eastAsia="Google Sans" w:hAnsi="Google Sans"/>
          <w:b w:val="1"/>
          <w:bCs w:val="1"/>
          <w:color w:val="1f1f1f"/>
          <w:rtl w:val="0"/>
        </w:rPr>
        <w:t xml:space="preserve">12th Finance Commission (Dr. C. Rangarajan | 2005–2010):</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r>
      <w:r w:rsidDel="00000000" w:rsidR="00000000" w:rsidRPr="00000000">
        <w:rPr>
          <w:rFonts w:ascii="Google Sans" w:cs="Google Sans" w:eastAsia="Google Sans" w:hAnsi="Google Sans"/>
          <w:color w:val="1f1f1f"/>
          <w:rtl w:val="0"/>
        </w:rPr>
        <w:t xml:space="preserve">Operating during a period of high fiscal vulnerability, the 12th FC established the framework for linking debt relief explicitly to fiscal discipline. It incentivized states to enact their respective Fiscal Responsibility legislations. It recommended a vertical devolution share of 30.5% of central taxes.</w:t>
      </w:r>
    </w:p>
    <w:p w:rsidR="00000000" w:rsidDel="00000000" w:rsidP="00000000" w:rsidRDefault="00000000" w:rsidRPr="00000000" w14:paraId="000000A0">
      <w:pPr>
        <w:numPr>
          <w:ilvl w:val="0"/>
          <w:numId w:val="2"/>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pPr>
      <w:r w:rsidDel="00000000" w:rsidR="00000000" w:rsidRPr="00000000">
        <w:rPr>
          <w:rFonts w:ascii="Google Sans" w:cs="Google Sans" w:eastAsia="Google Sans" w:hAnsi="Google Sans"/>
          <w:b w:val="1"/>
          <w:bCs w:val="1"/>
          <w:color w:val="1f1f1f"/>
          <w:rtl w:val="0"/>
        </w:rPr>
        <w:t xml:space="preserve">13th Finance Commission (Dr. Vijay L. Kelkar | 2010–2015):</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r>
      <w:r w:rsidDel="00000000" w:rsidR="00000000" w:rsidRPr="00000000">
        <w:rPr>
          <w:rFonts w:ascii="Google Sans" w:cs="Google Sans" w:eastAsia="Google Sans" w:hAnsi="Google Sans"/>
          <w:color w:val="1f1f1f"/>
          <w:rtl w:val="0"/>
        </w:rPr>
        <w:t xml:space="preserve">The 13th FC marginally raised the states' share of central taxes to 32%. Its most significant theoretical contribution was its emphasis on the impending implementation of the Goods and Services Tax (GST). It introduced a design for a "grand bargain" to compensate states for potential revenue losses during the GST transition, laying the intellectual groundwork for the GST Compensation Cess.</w:t>
      </w:r>
    </w:p>
    <w:p w:rsidR="00000000" w:rsidDel="00000000" w:rsidP="00000000" w:rsidRDefault="00000000" w:rsidRPr="00000000" w14:paraId="000000A1">
      <w:pPr>
        <w:numPr>
          <w:ilvl w:val="0"/>
          <w:numId w:val="2"/>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pPr>
      <w:r w:rsidDel="00000000" w:rsidR="00000000" w:rsidRPr="00000000">
        <w:rPr>
          <w:rFonts w:ascii="Google Sans" w:cs="Google Sans" w:eastAsia="Google Sans" w:hAnsi="Google Sans"/>
          <w:b w:val="1"/>
          <w:bCs w:val="1"/>
          <w:color w:val="1f1f1f"/>
          <w:rtl w:val="0"/>
        </w:rPr>
        <w:t xml:space="preserve">14th Finance Commission (Dr. Y. V. Reddy | 2015–2020):</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r>
      <w:r w:rsidDel="00000000" w:rsidR="00000000" w:rsidRPr="00000000">
        <w:rPr>
          <w:rFonts w:ascii="Google Sans" w:cs="Google Sans" w:eastAsia="Google Sans" w:hAnsi="Google Sans"/>
          <w:color w:val="1f1f1f"/>
          <w:rtl w:val="0"/>
        </w:rPr>
        <w:t xml:space="preserve">This commission represents a watershed moment in the history of Indian fiscal federalism. The 14th FC drastically increased the states' share of the divisible pool from 32% to an unprecedented 42%, marking the largest ever single increase in devolution. This was accompanied by the dismantling of the Planning Commission and the absorption of the archaic "Plan" vs. "Non-Plan" expenditure distinction. By drastically increasing the untied devolution pool, it severely restricted the Union's discretionary tied grants, granting states unprecedented autonomy in deploying fiscal resources based on localized priorities.</w:t>
      </w:r>
    </w:p>
    <w:p w:rsidR="00000000" w:rsidDel="00000000" w:rsidP="00000000" w:rsidRDefault="00000000" w:rsidRPr="00000000" w14:paraId="000000A2">
      <w:pPr>
        <w:numPr>
          <w:ilvl w:val="0"/>
          <w:numId w:val="2"/>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pPr>
      <w:r w:rsidDel="00000000" w:rsidR="00000000" w:rsidRPr="00000000">
        <w:rPr>
          <w:rFonts w:ascii="Google Sans" w:cs="Google Sans" w:eastAsia="Google Sans" w:hAnsi="Google Sans"/>
          <w:b w:val="1"/>
          <w:bCs w:val="1"/>
          <w:color w:val="1f1f1f"/>
          <w:rtl w:val="0"/>
        </w:rPr>
        <w:t xml:space="preserve">15th Finance Commission (N. K. Singh | 2020–2021 &amp; 2021–2026):</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r>
      <w:r w:rsidDel="00000000" w:rsidR="00000000" w:rsidRPr="00000000">
        <w:rPr>
          <w:rFonts w:ascii="Google Sans" w:cs="Google Sans" w:eastAsia="Google Sans" w:hAnsi="Google Sans"/>
          <w:color w:val="1f1f1f"/>
          <w:rtl w:val="0"/>
        </w:rPr>
        <w:t xml:space="preserve">The 15th FC was unique in producing two separate reports due to the constitutional transition of Jammu &amp; Kashmir from a State to a Union Territory, and the onset of the unprecedented COVID-19 pandemic. The vertical devolution was adjusted nominally from 42% down to 41% to account for the Union's new financial and security responsibilities regarding the J&amp;K and Ladakh UTs.</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r>
      <w:r w:rsidDel="00000000" w:rsidR="00000000" w:rsidRPr="00000000">
        <w:rPr>
          <w:rFonts w:ascii="Google Sans" w:cs="Google Sans" w:eastAsia="Google Sans" w:hAnsi="Google Sans"/>
          <w:color w:val="1f1f1f"/>
          <w:rtl w:val="0"/>
        </w:rPr>
        <w:t xml:space="preserve">Horizontally, the 15th FC caused a paradigm shift by completely abandoning the 1971 population census in favor of the 2011 census. To appease southern states that had successfully controlled their population growth and feared penalization, the commission introduced a novel "Demographic Performance" criterion (with a 12.5% weight) to reward states that achieved lower total fertility rates. It also maintained a heavy weight on "Income Distance" (45%) to ensure equity for less developed states.</w:t>
      </w:r>
    </w:p>
    <w:p w:rsidR="00000000" w:rsidDel="00000000" w:rsidP="00000000" w:rsidRDefault="00000000" w:rsidRPr="00000000" w14:paraId="000000A3">
      <w:pPr>
        <w:numPr>
          <w:ilvl w:val="0"/>
          <w:numId w:val="2"/>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65" w:hanging="360"/>
      </w:pPr>
      <w:r w:rsidDel="00000000" w:rsidR="00000000" w:rsidRPr="00000000">
        <w:rPr>
          <w:rFonts w:ascii="Google Sans" w:cs="Google Sans" w:eastAsia="Google Sans" w:hAnsi="Google Sans"/>
          <w:b w:val="1"/>
          <w:bCs w:val="1"/>
          <w:color w:val="1f1f1f"/>
          <w:rtl w:val="0"/>
        </w:rPr>
        <w:t xml:space="preserve">16th Finance Commission (Dr. Arvind Panagariya | 2026–2031):</w:t>
      </w:r>
      <w:r w:rsidDel="00000000" w:rsidR="00000000" w:rsidRPr="00000000">
        <w:rPr>
          <w:rFonts w:ascii="Google Sans" w:cs="Google Sans" w:eastAsia="Google Sans" w:hAnsi="Google Sans"/>
          <w:color w:val="1f1f1f"/>
          <w:rtl w:val="0"/>
        </w:rPr>
        <w:t xml:space="preserve"> Constituted by the President of India on December 31, 2023, the 16th FC is currently in its deliberative phase.</w:t>
      </w:r>
      <w:r w:rsidDel="00000000" w:rsidR="00000000" w:rsidRPr="00000000">
        <w:rPr>
          <w:rFonts w:ascii="Google Sans" w:cs="Google Sans" w:eastAsia="Google Sans" w:hAnsi="Google Sans"/>
          <w:color w:val="444746"/>
          <w:sz w:val="24"/>
          <w:szCs w:val="24"/>
          <w:vertAlign w:val="superscript"/>
          <w:rtl w:val="0"/>
        </w:rPr>
        <w:t xml:space="preserve">32</w:t>
      </w:r>
      <w:r w:rsidDel="00000000" w:rsidR="00000000" w:rsidRPr="00000000">
        <w:rPr>
          <w:rFonts w:ascii="Google Sans" w:cs="Google Sans" w:eastAsia="Google Sans" w:hAnsi="Google Sans"/>
          <w:color w:val="1f1f1f"/>
          <w:rtl w:val="0"/>
        </w:rPr>
        <w:t xml:space="preserve"> Chaired by the former Vice-Chairman of NITI Aayog, the commission's terms of reference mandate a comprehensive review of disaster management financing and an evaluation of mechanisms to augment the consolidated funds of states to supplement the resources of local panchayats and municipalities.</w:t>
      </w:r>
      <w:r w:rsidDel="00000000" w:rsidR="00000000" w:rsidRPr="00000000">
        <w:rPr>
          <w:rFonts w:ascii="Google Sans" w:cs="Google Sans" w:eastAsia="Google Sans" w:hAnsi="Google Sans"/>
          <w:color w:val="444746"/>
          <w:sz w:val="24"/>
          <w:szCs w:val="24"/>
          <w:vertAlign w:val="superscript"/>
          <w:rtl w:val="0"/>
        </w:rPr>
        <w:t xml:space="preserve">30</w:t>
      </w:r>
      <w:r w:rsidDel="00000000" w:rsidR="00000000" w:rsidRPr="00000000">
        <w:rPr>
          <w:rFonts w:ascii="Google Sans" w:cs="Google Sans" w:eastAsia="Google Sans" w:hAnsi="Google Sans"/>
          <w:color w:val="1f1f1f"/>
          <w:rtl w:val="0"/>
        </w:rPr>
        <w:t xml:space="preserve"> Its eventual recommendations, set to be applied from April 1, 2026, will definitively shape the Union-State fiscal architecture for the latter half of the decade.</w:t>
      </w:r>
      <w:r w:rsidDel="00000000" w:rsidR="00000000" w:rsidRPr="00000000">
        <w:rPr>
          <w:rFonts w:ascii="Google Sans" w:cs="Google Sans" w:eastAsia="Google Sans" w:hAnsi="Google Sans"/>
          <w:color w:val="444746"/>
          <w:sz w:val="24"/>
          <w:szCs w:val="24"/>
          <w:vertAlign w:val="superscript"/>
          <w:rtl w:val="0"/>
        </w:rPr>
        <w:t xml:space="preserve">32</w:t>
      </w:r>
    </w:p>
    <w:p w:rsidR="00000000" w:rsidDel="00000000" w:rsidP="00000000" w:rsidRDefault="00000000" w:rsidRPr="00000000" w14:paraId="000000A4">
      <w:pPr>
        <w:pStyle w:val="Heading2"/>
        <w:pBdr>
          <w:top w:space="0" w:sz="0" w:val="nil"/>
          <w:left w:space="0" w:sz="0" w:val="nil"/>
          <w:bottom w:space="0" w:sz="0" w:val="nil"/>
          <w:right w:space="0" w:sz="0" w:val="nil"/>
          <w:between w:space="0" w:sz="0" w:val="nil"/>
        </w:pBdr>
        <w:shd w:fill="auto" w:val="clear"/>
        <w:spacing w:after="120" w:before="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Supplementary Macroeconomic Dependencies and Quality of Expenditure</w:t>
      </w:r>
    </w:p>
    <w:p w:rsidR="00000000" w:rsidDel="00000000" w:rsidP="00000000" w:rsidRDefault="00000000" w:rsidRPr="00000000" w14:paraId="000000A5">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To fully contextualize the budgetary constraints and the aggressive fiscal policies detailed in the preceding modules, one must examine the supplementary measures taken by the Union Government to create fiscal space. The ability to fund ₹11.11 lakh crore in capital expenditure while simultaneously shrinking the fiscal deficit to 4.9% is not magical; it requires ruthless prioritization and reallocation.</w:t>
      </w:r>
    </w:p>
    <w:p w:rsidR="00000000" w:rsidDel="00000000" w:rsidP="00000000" w:rsidRDefault="00000000" w:rsidRPr="00000000" w14:paraId="000000A6">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Subsidy Rationalization</w:t>
      </w:r>
    </w:p>
    <w:p w:rsidR="00000000" w:rsidDel="00000000" w:rsidP="00000000" w:rsidRDefault="00000000" w:rsidRPr="00000000" w14:paraId="000000A7">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The quality of fiscal expenditure has improved markedly due to the systematic rationalization of subsidies. Subsidies, while politically necessary, are classic examples of revenue expenditure that offer no long-term capital returns. Major subsidies (food, fertilizer, and fuel) are projected to decline from 1.4% of GDP in FY24 (RE) to a deeply controlled 1.2% of GDP in FY25 (BE).</w:t>
      </w:r>
      <w:r w:rsidDel="00000000" w:rsidR="00000000" w:rsidRPr="00000000">
        <w:rPr>
          <w:rFonts w:ascii="Google Sans" w:cs="Google Sans" w:eastAsia="Google Sans" w:hAnsi="Google Sans"/>
          <w:color w:val="444746"/>
          <w:sz w:val="24"/>
          <w:szCs w:val="24"/>
          <w:vertAlign w:val="superscript"/>
          <w:rtl w:val="0"/>
        </w:rPr>
        <w:t xml:space="preserve">5</w:t>
      </w:r>
      <w:r w:rsidDel="00000000" w:rsidR="00000000" w:rsidRPr="00000000">
        <w:rPr>
          <w:rFonts w:ascii="Google Sans" w:cs="Google Sans" w:eastAsia="Google Sans" w:hAnsi="Google Sans"/>
          <w:color w:val="1f1f1f"/>
          <w:rtl w:val="0"/>
        </w:rPr>
        <w:t xml:space="preserve"> By restricting leakage through the JAM trinity (Jan Dhan, Aadhaar, Mobile) Direct Benefit Transfer (DBT) framework, and carefully managing global fertilizer procurement, the government secures the requisite capital to fund infrastructure without breaching the FRBM limits.</w:t>
      </w:r>
      <w:r w:rsidDel="00000000" w:rsidR="00000000" w:rsidRPr="00000000">
        <w:rPr>
          <w:rFonts w:ascii="Google Sans" w:cs="Google Sans" w:eastAsia="Google Sans" w:hAnsi="Google Sans"/>
          <w:color w:val="444746"/>
          <w:sz w:val="24"/>
          <w:szCs w:val="24"/>
          <w:vertAlign w:val="superscript"/>
          <w:rtl w:val="0"/>
        </w:rPr>
        <w:t xml:space="preserve">2</w:t>
      </w:r>
    </w:p>
    <w:p w:rsidR="00000000" w:rsidDel="00000000" w:rsidP="00000000" w:rsidRDefault="00000000" w:rsidRPr="00000000" w14:paraId="000000A8">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Mitigating Global Risks</w:t>
      </w:r>
    </w:p>
    <w:p w:rsidR="00000000" w:rsidDel="00000000" w:rsidP="00000000" w:rsidRDefault="00000000" w:rsidRPr="00000000" w14:paraId="000000A9">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The formulation of the FY25 (BE) estimates does not occur in a vacuum; it is highly calibrated to global economic headwinds. The Economic Survey 2023-24 highlights that while global supply chains are re-orienting (the "China plus one" strategy), India is exceptionally well-positioned to attract long-term Foreign Direct Investment (FDI) into strategic sectors like digital infrastructure, semiconductors, and advanced manufacturing.</w:t>
      </w:r>
      <w:r w:rsidDel="00000000" w:rsidR="00000000" w:rsidRPr="00000000">
        <w:rPr>
          <w:rFonts w:ascii="Google Sans" w:cs="Google Sans" w:eastAsia="Google Sans" w:hAnsi="Google Sans"/>
          <w:color w:val="444746"/>
          <w:sz w:val="24"/>
          <w:szCs w:val="24"/>
          <w:vertAlign w:val="superscript"/>
          <w:rtl w:val="0"/>
        </w:rPr>
        <w:t xml:space="preserve">7</w:t>
      </w:r>
      <w:r w:rsidDel="00000000" w:rsidR="00000000" w:rsidRPr="00000000">
        <w:rPr>
          <w:rFonts w:ascii="Google Sans" w:cs="Google Sans" w:eastAsia="Google Sans" w:hAnsi="Google Sans"/>
          <w:color w:val="1f1f1f"/>
          <w:rtl w:val="0"/>
        </w:rPr>
        <w:t xml:space="preserve"> India emerged as the largest destination for greenfield digital investments, attracting USD 114 billion between 2020 and 2024.</w:t>
      </w:r>
      <w:r w:rsidDel="00000000" w:rsidR="00000000" w:rsidRPr="00000000">
        <w:rPr>
          <w:rFonts w:ascii="Google Sans" w:cs="Google Sans" w:eastAsia="Google Sans" w:hAnsi="Google Sans"/>
          <w:color w:val="444746"/>
          <w:sz w:val="24"/>
          <w:szCs w:val="24"/>
          <w:vertAlign w:val="superscript"/>
          <w:rtl w:val="0"/>
        </w:rPr>
        <w:t xml:space="preserve">7</w:t>
      </w:r>
      <w:r w:rsidDel="00000000" w:rsidR="00000000" w:rsidRPr="00000000">
        <w:rPr>
          <w:rFonts w:ascii="Google Sans" w:cs="Google Sans" w:eastAsia="Google Sans" w:hAnsi="Google Sans"/>
          <w:color w:val="1f1f1f"/>
          <w:rtl w:val="0"/>
        </w:rPr>
        <w:t xml:space="preserve"> These capital inflows, alongside a managed trade deficit offset by booming services exports, keep the macroeconomic baseline exceptionally stable. The stabilization of the Current Account Deficit ensures that sovereign borrowing costs remain largely insulated from currency depreciation shocks, allowing the Reserve Bank of India to manage monetary liquidity efficiently alongside the government’s fiscal glide path.</w:t>
      </w:r>
      <w:r w:rsidDel="00000000" w:rsidR="00000000" w:rsidRPr="00000000">
        <w:rPr>
          <w:rFonts w:ascii="Google Sans" w:cs="Google Sans" w:eastAsia="Google Sans" w:hAnsi="Google Sans"/>
          <w:color w:val="444746"/>
          <w:sz w:val="24"/>
          <w:szCs w:val="24"/>
          <w:vertAlign w:val="superscript"/>
          <w:rtl w:val="0"/>
        </w:rPr>
        <w:t xml:space="preserve">4</w:t>
      </w:r>
    </w:p>
    <w:p w:rsidR="00000000" w:rsidDel="00000000" w:rsidP="00000000" w:rsidRDefault="00000000" w:rsidRPr="00000000" w14:paraId="000000AA">
      <w:pPr>
        <w:pStyle w:val="Heading2"/>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Concluding Synthesis</w:t>
      </w:r>
    </w:p>
    <w:p w:rsidR="00000000" w:rsidDel="00000000" w:rsidP="00000000" w:rsidRDefault="00000000" w:rsidRPr="00000000" w14:paraId="000000AB">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The fiscal blueprint detailed in the Union Budget 2024-25, supported by the data from the Economic Survey 2023-24, underscores a mature, growth-oriented macroeconomic framework. By compressing the Effective Revenue Deficit to a marginal 0.8% and aiming for a Fiscal Deficit of 4.9%, the Union Government is actively substituting debt-financed consumption with debt-financed capital accumulation.</w:t>
      </w:r>
      <w:r w:rsidDel="00000000" w:rsidR="00000000" w:rsidRPr="00000000">
        <w:rPr>
          <w:rFonts w:ascii="Google Sans" w:cs="Google Sans" w:eastAsia="Google Sans" w:hAnsi="Google Sans"/>
          <w:color w:val="444746"/>
          <w:sz w:val="24"/>
          <w:szCs w:val="24"/>
          <w:vertAlign w:val="superscript"/>
          <w:rtl w:val="0"/>
        </w:rPr>
        <w:t xml:space="preserve">2</w:t>
      </w:r>
    </w:p>
    <w:p w:rsidR="00000000" w:rsidDel="00000000" w:rsidP="00000000" w:rsidRDefault="00000000" w:rsidRPr="00000000" w14:paraId="000000AC">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The direct tax-to-GDP ratio reaching a historic 6.7% reflects long-term structural gains in economic formalization, outperforming the indirect tax base and establishing a more equitable, progressive fiscal foundation.</w:t>
      </w:r>
      <w:r w:rsidDel="00000000" w:rsidR="00000000" w:rsidRPr="00000000">
        <w:rPr>
          <w:rFonts w:ascii="Google Sans" w:cs="Google Sans" w:eastAsia="Google Sans" w:hAnsi="Google Sans"/>
          <w:color w:val="444746"/>
          <w:sz w:val="24"/>
          <w:szCs w:val="24"/>
          <w:vertAlign w:val="superscript"/>
          <w:rtl w:val="0"/>
        </w:rPr>
        <w:t xml:space="preserve">14</w:t>
      </w:r>
      <w:r w:rsidDel="00000000" w:rsidR="00000000" w:rsidRPr="00000000">
        <w:rPr>
          <w:rFonts w:ascii="Google Sans" w:cs="Google Sans" w:eastAsia="Google Sans" w:hAnsi="Google Sans"/>
          <w:color w:val="1f1f1f"/>
          <w:rtl w:val="0"/>
        </w:rPr>
        <w:t xml:space="preserve"> Simultaneously, the strategic channelling of capital to the Ministry of Road Transport and Highways (₹2.72 lakh crore), Railways (₹2.52 lakh crore), and State Governments via interest-free loans guarantees that the multiplier effects of these investments will permeate the macroeconomy, solving supply-side rigidities and crowding in private investment.</w:t>
      </w:r>
      <w:r w:rsidDel="00000000" w:rsidR="00000000" w:rsidRPr="00000000">
        <w:rPr>
          <w:rFonts w:ascii="Google Sans" w:cs="Google Sans" w:eastAsia="Google Sans" w:hAnsi="Google Sans"/>
          <w:color w:val="444746"/>
          <w:sz w:val="24"/>
          <w:szCs w:val="24"/>
          <w:vertAlign w:val="superscript"/>
          <w:rtl w:val="0"/>
        </w:rPr>
        <w:t xml:space="preserve">6</w:t>
      </w:r>
    </w:p>
    <w:p w:rsidR="00000000" w:rsidDel="00000000" w:rsidP="00000000" w:rsidRDefault="00000000" w:rsidRPr="00000000" w14:paraId="000000AD">
      <w:pPr>
        <w:pBdr>
          <w:top w:space="0" w:sz="0" w:val="nil"/>
          <w:left w:space="0" w:sz="0" w:val="nil"/>
          <w:bottom w:space="0" w:sz="0" w:val="nil"/>
          <w:right w:space="0" w:sz="0" w:val="nil"/>
          <w:between w:space="0" w:sz="0" w:val="nil"/>
        </w:pBdr>
        <w:shd w:fill="auto" w:val="clear"/>
        <w:spacing w:after="255"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As the 16th Finance Commission prepares its recommendations for the 2026-2031 period, the sustained discipline of both central and state balance sheets will be paramount. The data clearly illustrates that India has successfully navigated the post-pandemic fiscal challenges and has positioned its budgetary tools exclusively toward sustaining long-term, structural economic growth.</w:t>
      </w:r>
    </w:p>
    <w:p w:rsidR="00000000" w:rsidDel="00000000" w:rsidP="00000000" w:rsidRDefault="00000000" w:rsidRPr="00000000" w14:paraId="000000AE">
      <w:pPr>
        <w:pStyle w:val="Heading4"/>
        <w:pBdr>
          <w:top w:space="0" w:sz="0" w:val="nil"/>
          <w:left w:space="0" w:sz="0" w:val="nil"/>
          <w:bottom w:space="0" w:sz="0" w:val="nil"/>
          <w:right w:space="0" w:sz="0" w:val="nil"/>
          <w:between w:space="0" w:sz="0" w:val="nil"/>
        </w:pBdr>
        <w:shd w:fill="auto" w:val="clear"/>
        <w:spacing w:before="0" w:lineRule="auto"/>
        <w:rPr>
          <w:rFonts w:ascii="Google Sans" w:cs="Google Sans" w:eastAsia="Google Sans" w:hAnsi="Google Sans"/>
        </w:rPr>
      </w:pPr>
      <w:r w:rsidDel="00000000" w:rsidR="00000000" w:rsidRPr="00000000">
        <w:rPr>
          <w:rFonts w:ascii="Google Sans" w:cs="Google Sans" w:eastAsia="Google Sans" w:hAnsi="Google Sans"/>
          <w:rtl w:val="0"/>
        </w:rPr>
        <w:t xml:space="preserve">Works cited</w:t>
      </w:r>
    </w:p>
    <w:p w:rsidR="00000000" w:rsidDel="00000000" w:rsidP="00000000" w:rsidRDefault="00000000" w:rsidRPr="00000000" w14:paraId="000000AF">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Union Budget 2024-25 Analysis - PRS India, accessed February 22, 2026, </w:t>
      </w:r>
      <w:hyperlink r:id="rId6">
        <w:r w:rsidDel="00000000" w:rsidR="00000000" w:rsidRPr="00000000">
          <w:rPr>
            <w:rFonts w:ascii="Google Sans" w:cs="Google Sans" w:eastAsia="Google Sans" w:hAnsi="Google Sans"/>
            <w:color w:val="0000ee"/>
            <w:sz w:val="24"/>
            <w:szCs w:val="24"/>
            <w:u w:val="single"/>
            <w:rtl w:val="0"/>
          </w:rPr>
          <w:t xml:space="preserve">https://prsindia.org/budgets/parliament/union-budget-2024-25-analysis</w:t>
        </w:r>
      </w:hyperlink>
      <w:r w:rsidDel="00000000" w:rsidR="00000000" w:rsidRPr="00000000">
        <w:rPr>
          <w:rtl w:val="0"/>
        </w:rPr>
      </w:r>
    </w:p>
    <w:p w:rsidR="00000000" w:rsidDel="00000000" w:rsidP="00000000" w:rsidRDefault="00000000" w:rsidRPr="00000000" w14:paraId="000000B0">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Union Budget 2024-25 - Invesco Mutual Fund, accessed February 22, 2026, </w:t>
      </w:r>
      <w:hyperlink r:id="rId7">
        <w:r w:rsidDel="00000000" w:rsidR="00000000" w:rsidRPr="00000000">
          <w:rPr>
            <w:rFonts w:ascii="Google Sans" w:cs="Google Sans" w:eastAsia="Google Sans" w:hAnsi="Google Sans"/>
            <w:color w:val="0000ee"/>
            <w:sz w:val="24"/>
            <w:szCs w:val="24"/>
            <w:u w:val="single"/>
            <w:rtl w:val="0"/>
          </w:rPr>
          <w:t xml:space="preserve">https://www.invescomutualfund.com/docs/default-source/default-document-library/union-budget-2024-25.pdf?sfvrsn=106c95c2_0</w:t>
        </w:r>
      </w:hyperlink>
      <w:r w:rsidDel="00000000" w:rsidR="00000000" w:rsidRPr="00000000">
        <w:rPr>
          <w:rtl w:val="0"/>
        </w:rPr>
      </w:r>
    </w:p>
    <w:p w:rsidR="00000000" w:rsidDel="00000000" w:rsidP="00000000" w:rsidRDefault="00000000" w:rsidRPr="00000000" w14:paraId="000000B1">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Economic Survey 2023-24 - Committee Reports, accessed February 22, 2026, </w:t>
      </w:r>
      <w:hyperlink r:id="rId8">
        <w:r w:rsidDel="00000000" w:rsidR="00000000" w:rsidRPr="00000000">
          <w:rPr>
            <w:rFonts w:ascii="Google Sans" w:cs="Google Sans" w:eastAsia="Google Sans" w:hAnsi="Google Sans"/>
            <w:color w:val="0000ee"/>
            <w:sz w:val="24"/>
            <w:szCs w:val="24"/>
            <w:u w:val="single"/>
            <w:rtl w:val="0"/>
          </w:rPr>
          <w:t xml:space="preserve">https://prsindia.org/policy/report-summaries/economic-survey-2023-24</w:t>
        </w:r>
      </w:hyperlink>
      <w:r w:rsidDel="00000000" w:rsidR="00000000" w:rsidRPr="00000000">
        <w:rPr>
          <w:rtl w:val="0"/>
        </w:rPr>
      </w:r>
    </w:p>
    <w:p w:rsidR="00000000" w:rsidDel="00000000" w:rsidP="00000000" w:rsidRDefault="00000000" w:rsidRPr="00000000" w14:paraId="000000B2">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Economic Survey 2023-24 - Budget, accessed February 22, 2026, </w:t>
      </w:r>
      <w:hyperlink r:id="rId9">
        <w:r w:rsidDel="00000000" w:rsidR="00000000" w:rsidRPr="00000000">
          <w:rPr>
            <w:rFonts w:ascii="Google Sans" w:cs="Google Sans" w:eastAsia="Google Sans" w:hAnsi="Google Sans"/>
            <w:color w:val="0000ee"/>
            <w:sz w:val="24"/>
            <w:szCs w:val="24"/>
            <w:u w:val="single"/>
            <w:rtl w:val="0"/>
          </w:rPr>
          <w:t xml:space="preserve">https://www.indiabudget.gov.in/budget2024-25/economicsurvey/doc/echapter.pdf</w:t>
        </w:r>
      </w:hyperlink>
      <w:r w:rsidDel="00000000" w:rsidR="00000000" w:rsidRPr="00000000">
        <w:rPr>
          <w:rtl w:val="0"/>
        </w:rPr>
      </w:r>
    </w:p>
    <w:p w:rsidR="00000000" w:rsidDel="00000000" w:rsidP="00000000" w:rsidRDefault="00000000" w:rsidRPr="00000000" w14:paraId="000000B3">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25 GST RECEIPTS ARE ESTIMATED TO REGISTER A GROWTH OF 11.0 PER CENT OVER RE AND PE FOR FY 2023-24 AT ₹10.62 LAKH CRORE IN BE 2024-25 - PIB, accessed February 22, 2026, </w:t>
      </w:r>
      <w:hyperlink r:id="rId10">
        <w:r w:rsidDel="00000000" w:rsidR="00000000" w:rsidRPr="00000000">
          <w:rPr>
            <w:rFonts w:ascii="Google Sans" w:cs="Google Sans" w:eastAsia="Google Sans" w:hAnsi="Google Sans"/>
            <w:color w:val="0000ee"/>
            <w:sz w:val="24"/>
            <w:szCs w:val="24"/>
            <w:u w:val="single"/>
            <w:rtl w:val="0"/>
          </w:rPr>
          <w:t xml:space="preserve">https://www.pib.gov.in/PressReleasePage.aspx?PRID=2035560</w:t>
        </w:r>
      </w:hyperlink>
      <w:r w:rsidDel="00000000" w:rsidR="00000000" w:rsidRPr="00000000">
        <w:rPr>
          <w:rtl w:val="0"/>
        </w:rPr>
      </w:r>
    </w:p>
    <w:p w:rsidR="00000000" w:rsidDel="00000000" w:rsidP="00000000" w:rsidRDefault="00000000" w:rsidRPr="00000000" w14:paraId="000000B4">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Union Budget Analysis 2024-25 - PRS India, accessed February 22, 2026, </w:t>
      </w:r>
      <w:hyperlink r:id="rId11">
        <w:r w:rsidDel="00000000" w:rsidR="00000000" w:rsidRPr="00000000">
          <w:rPr>
            <w:rFonts w:ascii="Google Sans" w:cs="Google Sans" w:eastAsia="Google Sans" w:hAnsi="Google Sans"/>
            <w:color w:val="0000ee"/>
            <w:sz w:val="24"/>
            <w:szCs w:val="24"/>
            <w:u w:val="single"/>
            <w:rtl w:val="0"/>
          </w:rPr>
          <w:t xml:space="preserve">https://prsindia.org/files/budget/budget_parliament/2024/Union_Budget_Analysis_2024-25.pdf</w:t>
        </w:r>
      </w:hyperlink>
      <w:r w:rsidDel="00000000" w:rsidR="00000000" w:rsidRPr="00000000">
        <w:rPr>
          <w:rtl w:val="0"/>
        </w:rPr>
      </w:r>
    </w:p>
    <w:p w:rsidR="00000000" w:rsidDel="00000000" w:rsidP="00000000" w:rsidRDefault="00000000" w:rsidRPr="00000000" w14:paraId="000000B5">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Economic Survey 2025-26 Highlights - Union Budget, accessed February 22, 2026, </w:t>
      </w:r>
      <w:hyperlink r:id="rId12">
        <w:r w:rsidDel="00000000" w:rsidR="00000000" w:rsidRPr="00000000">
          <w:rPr>
            <w:rFonts w:ascii="Google Sans" w:cs="Google Sans" w:eastAsia="Google Sans" w:hAnsi="Google Sans"/>
            <w:color w:val="0000ee"/>
            <w:sz w:val="24"/>
            <w:szCs w:val="24"/>
            <w:u w:val="single"/>
            <w:rtl w:val="0"/>
          </w:rPr>
          <w:t xml:space="preserve">https://www.indiabudget.gov.in/economicsurvey/doc/Infographics%20English.pdf</w:t>
        </w:r>
      </w:hyperlink>
      <w:r w:rsidDel="00000000" w:rsidR="00000000" w:rsidRPr="00000000">
        <w:rPr>
          <w:rtl w:val="0"/>
        </w:rPr>
      </w:r>
    </w:p>
    <w:p w:rsidR="00000000" w:rsidDel="00000000" w:rsidP="00000000" w:rsidRDefault="00000000" w:rsidRPr="00000000" w14:paraId="000000B6">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Union Budget FY25: Impact - :: IDBI Capital ::, accessed February 22, 2026, </w:t>
      </w:r>
      <w:hyperlink r:id="rId13">
        <w:r w:rsidDel="00000000" w:rsidR="00000000" w:rsidRPr="00000000">
          <w:rPr>
            <w:rFonts w:ascii="Google Sans" w:cs="Google Sans" w:eastAsia="Google Sans" w:hAnsi="Google Sans"/>
            <w:color w:val="0000ee"/>
            <w:sz w:val="24"/>
            <w:szCs w:val="24"/>
            <w:u w:val="single"/>
            <w:rtl w:val="0"/>
          </w:rPr>
          <w:t xml:space="preserve">https://idbicapital.com/InstitutionReports/Uploads/Union_Budget_FY25_01022024.pdf</w:t>
        </w:r>
      </w:hyperlink>
      <w:r w:rsidDel="00000000" w:rsidR="00000000" w:rsidRPr="00000000">
        <w:rPr>
          <w:rtl w:val="0"/>
        </w:rPr>
      </w:r>
    </w:p>
    <w:p w:rsidR="00000000" w:rsidDel="00000000" w:rsidP="00000000" w:rsidRDefault="00000000" w:rsidRPr="00000000" w14:paraId="000000B7">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Economy Watch - July 2024 | EY, accessed February 22, 2026, </w:t>
      </w:r>
      <w:hyperlink r:id="rId14">
        <w:r w:rsidDel="00000000" w:rsidR="00000000" w:rsidRPr="00000000">
          <w:rPr>
            <w:rFonts w:ascii="Google Sans" w:cs="Google Sans" w:eastAsia="Google Sans" w:hAnsi="Google Sans"/>
            <w:color w:val="0000ee"/>
            <w:sz w:val="24"/>
            <w:szCs w:val="24"/>
            <w:u w:val="single"/>
            <w:rtl w:val="0"/>
          </w:rPr>
          <w:t xml:space="preserve">https://www.ey.com/content/dam/ey-unified-site/ey-com/en-in/services/tax/economy-watch/2024/07/ey-economy-watch-july-2024.pdf</w:t>
        </w:r>
      </w:hyperlink>
      <w:r w:rsidDel="00000000" w:rsidR="00000000" w:rsidRPr="00000000">
        <w:rPr>
          <w:rtl w:val="0"/>
        </w:rPr>
      </w:r>
    </w:p>
    <w:p w:rsidR="00000000" w:rsidDel="00000000" w:rsidP="00000000" w:rsidRDefault="00000000" w:rsidRPr="00000000" w14:paraId="000000B8">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summary of the union budget 2024-2025 - Press Release:Press Information Bureau, accessed February 22, 2026, </w:t>
      </w:r>
      <w:hyperlink r:id="rId15">
        <w:r w:rsidDel="00000000" w:rsidR="00000000" w:rsidRPr="00000000">
          <w:rPr>
            <w:rFonts w:ascii="Google Sans" w:cs="Google Sans" w:eastAsia="Google Sans" w:hAnsi="Google Sans"/>
            <w:color w:val="0000ee"/>
            <w:sz w:val="24"/>
            <w:szCs w:val="24"/>
            <w:u w:val="single"/>
            <w:rtl w:val="0"/>
          </w:rPr>
          <w:t xml:space="preserve">https://www.pib.gov.in/PressReleasePage.aspx?PRID=2035618</w:t>
        </w:r>
      </w:hyperlink>
      <w:r w:rsidDel="00000000" w:rsidR="00000000" w:rsidRPr="00000000">
        <w:rPr>
          <w:rtl w:val="0"/>
        </w:rPr>
      </w:r>
    </w:p>
    <w:p w:rsidR="00000000" w:rsidDel="00000000" w:rsidP="00000000" w:rsidRDefault="00000000" w:rsidRPr="00000000" w14:paraId="000000B9">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Government of India - Union Budget, accessed February 22, 2026, </w:t>
      </w:r>
      <w:hyperlink r:id="rId16">
        <w:r w:rsidDel="00000000" w:rsidR="00000000" w:rsidRPr="00000000">
          <w:rPr>
            <w:rFonts w:ascii="Google Sans" w:cs="Google Sans" w:eastAsia="Google Sans" w:hAnsi="Google Sans"/>
            <w:color w:val="0000ee"/>
            <w:sz w:val="24"/>
            <w:szCs w:val="24"/>
            <w:u w:val="single"/>
            <w:rtl w:val="0"/>
          </w:rPr>
          <w:t xml:space="preserve">https://www.indiabudget.gov.in/economicsurvey/doc/echapter.pdf</w:t>
        </w:r>
      </w:hyperlink>
      <w:r w:rsidDel="00000000" w:rsidR="00000000" w:rsidRPr="00000000">
        <w:rPr>
          <w:rtl w:val="0"/>
        </w:rPr>
      </w:r>
    </w:p>
    <w:p w:rsidR="00000000" w:rsidDel="00000000" w:rsidP="00000000" w:rsidRDefault="00000000" w:rsidRPr="00000000" w14:paraId="000000BA">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Vital Stats : Direct Taxes in India, accessed February 22, 2026, </w:t>
      </w:r>
      <w:hyperlink r:id="rId17">
        <w:r w:rsidDel="00000000" w:rsidR="00000000" w:rsidRPr="00000000">
          <w:rPr>
            <w:rFonts w:ascii="Google Sans" w:cs="Google Sans" w:eastAsia="Google Sans" w:hAnsi="Google Sans"/>
            <w:color w:val="0000ee"/>
            <w:sz w:val="24"/>
            <w:szCs w:val="24"/>
            <w:u w:val="single"/>
            <w:rtl w:val="0"/>
          </w:rPr>
          <w:t xml:space="preserve">https://prsindia.org/billtrack/prs-products/vital-stats-direct-taxes-in-india</w:t>
        </w:r>
      </w:hyperlink>
      <w:r w:rsidDel="00000000" w:rsidR="00000000" w:rsidRPr="00000000">
        <w:rPr>
          <w:rtl w:val="0"/>
        </w:rPr>
      </w:r>
    </w:p>
    <w:p w:rsidR="00000000" w:rsidDel="00000000" w:rsidP="00000000" w:rsidRDefault="00000000" w:rsidRPr="00000000" w14:paraId="000000BB">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Understanding India's Tax to GDP Ratio: A Look at Revenue Collection - ClearTax, accessed February 22, 2026, </w:t>
      </w:r>
      <w:hyperlink r:id="rId18">
        <w:r w:rsidDel="00000000" w:rsidR="00000000" w:rsidRPr="00000000">
          <w:rPr>
            <w:rFonts w:ascii="Google Sans" w:cs="Google Sans" w:eastAsia="Google Sans" w:hAnsi="Google Sans"/>
            <w:color w:val="0000ee"/>
            <w:sz w:val="24"/>
            <w:szCs w:val="24"/>
            <w:u w:val="single"/>
            <w:rtl w:val="0"/>
          </w:rPr>
          <w:t xml:space="preserve">https://cleartax.in/s/tax-to-gdp-ratio</w:t>
        </w:r>
      </w:hyperlink>
      <w:r w:rsidDel="00000000" w:rsidR="00000000" w:rsidRPr="00000000">
        <w:rPr>
          <w:rtl w:val="0"/>
        </w:rPr>
      </w:r>
    </w:p>
    <w:p w:rsidR="00000000" w:rsidDel="00000000" w:rsidP="00000000" w:rsidRDefault="00000000" w:rsidRPr="00000000" w14:paraId="000000BC">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Who's Paying India's Bills? Tax System Decoded - Next IAS, accessed February 22, 2026, </w:t>
      </w:r>
      <w:hyperlink r:id="rId19">
        <w:r w:rsidDel="00000000" w:rsidR="00000000" w:rsidRPr="00000000">
          <w:rPr>
            <w:rFonts w:ascii="Google Sans" w:cs="Google Sans" w:eastAsia="Google Sans" w:hAnsi="Google Sans"/>
            <w:color w:val="0000ee"/>
            <w:sz w:val="24"/>
            <w:szCs w:val="24"/>
            <w:u w:val="single"/>
            <w:rtl w:val="0"/>
          </w:rPr>
          <w:t xml:space="preserve">https://www.nextias.com/beyond-classroom/tax-system-in-india</w:t>
        </w:r>
      </w:hyperlink>
      <w:r w:rsidDel="00000000" w:rsidR="00000000" w:rsidRPr="00000000">
        <w:rPr>
          <w:rtl w:val="0"/>
        </w:rPr>
      </w:r>
    </w:p>
    <w:p w:rsidR="00000000" w:rsidDel="00000000" w:rsidP="00000000" w:rsidRDefault="00000000" w:rsidRPr="00000000" w14:paraId="000000BD">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Next IAS - Who's Paying India's Bills? Tax System Decoded, accessed February 22, 2026, </w:t>
      </w:r>
      <w:hyperlink r:id="rId20">
        <w:r w:rsidDel="00000000" w:rsidR="00000000" w:rsidRPr="00000000">
          <w:rPr>
            <w:rFonts w:ascii="Google Sans" w:cs="Google Sans" w:eastAsia="Google Sans" w:hAnsi="Google Sans"/>
            <w:color w:val="0000ee"/>
            <w:sz w:val="24"/>
            <w:szCs w:val="24"/>
            <w:u w:val="single"/>
            <w:rtl w:val="0"/>
          </w:rPr>
          <w:t xml:space="preserve">https://www.nextias.com/newuploads/Nextias/2025/1/who-is-paying-india-bill-1736573758874.pdf</w:t>
        </w:r>
      </w:hyperlink>
      <w:r w:rsidDel="00000000" w:rsidR="00000000" w:rsidRPr="00000000">
        <w:rPr>
          <w:rtl w:val="0"/>
        </w:rPr>
      </w:r>
    </w:p>
    <w:p w:rsidR="00000000" w:rsidDel="00000000" w:rsidP="00000000" w:rsidRDefault="00000000" w:rsidRPr="00000000" w14:paraId="000000BE">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Budget 2024-25: Income Tax Contributes More to Govt Revenue Than Corporations, accessed February 22, 2026, </w:t>
      </w:r>
      <w:hyperlink r:id="rId21">
        <w:r w:rsidDel="00000000" w:rsidR="00000000" w:rsidRPr="00000000">
          <w:rPr>
            <w:rFonts w:ascii="Google Sans" w:cs="Google Sans" w:eastAsia="Google Sans" w:hAnsi="Google Sans"/>
            <w:color w:val="0000ee"/>
            <w:sz w:val="24"/>
            <w:szCs w:val="24"/>
            <w:u w:val="single"/>
            <w:rtl w:val="0"/>
          </w:rPr>
          <w:t xml:space="preserve">https://www.cenfa.org/budget-2024-25-income-tax-contributes-more-to-govt-revenue-than-corporations/</w:t>
        </w:r>
      </w:hyperlink>
      <w:r w:rsidDel="00000000" w:rsidR="00000000" w:rsidRPr="00000000">
        <w:rPr>
          <w:rtl w:val="0"/>
        </w:rPr>
      </w:r>
    </w:p>
    <w:p w:rsidR="00000000" w:rsidDel="00000000" w:rsidP="00000000" w:rsidRDefault="00000000" w:rsidRPr="00000000" w14:paraId="000000BF">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Union Budget 2024-25 Analysis - SBI Bank, accessed February 22, 2026, </w:t>
      </w:r>
      <w:hyperlink r:id="rId22">
        <w:r w:rsidDel="00000000" w:rsidR="00000000" w:rsidRPr="00000000">
          <w:rPr>
            <w:rFonts w:ascii="Google Sans" w:cs="Google Sans" w:eastAsia="Google Sans" w:hAnsi="Google Sans"/>
            <w:color w:val="0000ee"/>
            <w:sz w:val="24"/>
            <w:szCs w:val="24"/>
            <w:u w:val="single"/>
            <w:rtl w:val="0"/>
          </w:rPr>
          <w:t xml:space="preserve">https://sbi.bank.in/webfiles/uploads/files_2425/240724-SBI%20Union%20Budget%20Analysis%202024-25.pdf</w:t>
        </w:r>
      </w:hyperlink>
      <w:r w:rsidDel="00000000" w:rsidR="00000000" w:rsidRPr="00000000">
        <w:rPr>
          <w:rtl w:val="0"/>
        </w:rPr>
      </w:r>
    </w:p>
    <w:p w:rsidR="00000000" w:rsidDel="00000000" w:rsidP="00000000" w:rsidRDefault="00000000" w:rsidRPr="00000000" w14:paraId="000000C0">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Union Budget 2024: Where does the govt get its money, where does it go?, accessed February 22, 2026, </w:t>
      </w:r>
      <w:hyperlink r:id="rId23">
        <w:r w:rsidDel="00000000" w:rsidR="00000000" w:rsidRPr="00000000">
          <w:rPr>
            <w:rFonts w:ascii="Google Sans" w:cs="Google Sans" w:eastAsia="Google Sans" w:hAnsi="Google Sans"/>
            <w:color w:val="0000ee"/>
            <w:sz w:val="24"/>
            <w:szCs w:val="24"/>
            <w:u w:val="single"/>
            <w:rtl w:val="0"/>
          </w:rPr>
          <w:t xml:space="preserve">https://www.business-standard.com/budget/news/union-budget-2024-where-does-the-govt-get-its-money-where-does-it-go-124072300713_1.html</w:t>
        </w:r>
      </w:hyperlink>
      <w:r w:rsidDel="00000000" w:rsidR="00000000" w:rsidRPr="00000000">
        <w:rPr>
          <w:rtl w:val="0"/>
        </w:rPr>
      </w:r>
    </w:p>
    <w:p w:rsidR="00000000" w:rsidDel="00000000" w:rsidP="00000000" w:rsidRDefault="00000000" w:rsidRPr="00000000" w14:paraId="000000C1">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Budget 2024 - Vision IAS, accessed February 22, 2026, </w:t>
      </w:r>
      <w:hyperlink r:id="rId24">
        <w:r w:rsidDel="00000000" w:rsidR="00000000" w:rsidRPr="00000000">
          <w:rPr>
            <w:rFonts w:ascii="Google Sans" w:cs="Google Sans" w:eastAsia="Google Sans" w:hAnsi="Google Sans"/>
            <w:color w:val="0000ee"/>
            <w:sz w:val="24"/>
            <w:szCs w:val="24"/>
            <w:u w:val="single"/>
            <w:rtl w:val="0"/>
          </w:rPr>
          <w:t xml:space="preserve">https://cdn.visionias.in/value_added_material/c026a-summary-of-union-interim-budget-2024-25.pdf</w:t>
        </w:r>
      </w:hyperlink>
      <w:r w:rsidDel="00000000" w:rsidR="00000000" w:rsidRPr="00000000">
        <w:rPr>
          <w:rtl w:val="0"/>
        </w:rPr>
      </w:r>
    </w:p>
    <w:p w:rsidR="00000000" w:rsidDel="00000000" w:rsidP="00000000" w:rsidRDefault="00000000" w:rsidRPr="00000000" w14:paraId="000000C2">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Ministry of Finance | Government of India - Budget, accessed February 22, 2026, </w:t>
      </w:r>
      <w:hyperlink r:id="rId25">
        <w:r w:rsidDel="00000000" w:rsidR="00000000" w:rsidRPr="00000000">
          <w:rPr>
            <w:rFonts w:ascii="Google Sans" w:cs="Google Sans" w:eastAsia="Google Sans" w:hAnsi="Google Sans"/>
            <w:color w:val="0000ee"/>
            <w:sz w:val="24"/>
            <w:szCs w:val="24"/>
            <w:u w:val="single"/>
            <w:rtl w:val="0"/>
          </w:rPr>
          <w:t xml:space="preserve">https://www.indiabudget.gov.in/budget2024-25(I)/index.php</w:t>
        </w:r>
      </w:hyperlink>
      <w:r w:rsidDel="00000000" w:rsidR="00000000" w:rsidRPr="00000000">
        <w:rPr>
          <w:rtl w:val="0"/>
        </w:rPr>
      </w:r>
    </w:p>
    <w:p w:rsidR="00000000" w:rsidDel="00000000" w:rsidP="00000000" w:rsidRDefault="00000000" w:rsidRPr="00000000" w14:paraId="000000C3">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BUDGET AT A GLANCE 2023-2024, accessed February 22, 2026, </w:t>
      </w:r>
      <w:hyperlink r:id="rId26">
        <w:r w:rsidDel="00000000" w:rsidR="00000000" w:rsidRPr="00000000">
          <w:rPr>
            <w:rFonts w:ascii="Google Sans" w:cs="Google Sans" w:eastAsia="Google Sans" w:hAnsi="Google Sans"/>
            <w:color w:val="0000ee"/>
            <w:sz w:val="24"/>
            <w:szCs w:val="24"/>
            <w:u w:val="single"/>
            <w:rtl w:val="0"/>
          </w:rPr>
          <w:t xml:space="preserve">https://www.indiabudget.gov.in/budget2023-24/doc/Budget_at_Glance/bag1.pdf</w:t>
        </w:r>
      </w:hyperlink>
      <w:r w:rsidDel="00000000" w:rsidR="00000000" w:rsidRPr="00000000">
        <w:rPr>
          <w:rtl w:val="0"/>
        </w:rPr>
      </w:r>
    </w:p>
    <w:p w:rsidR="00000000" w:rsidDel="00000000" w:rsidP="00000000" w:rsidRDefault="00000000" w:rsidRPr="00000000" w14:paraId="000000C4">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EXPENDITURE PROFILE 2024-2025 - Union Budget, accessed February 22, 2026, </w:t>
      </w:r>
      <w:hyperlink r:id="rId27">
        <w:r w:rsidDel="00000000" w:rsidR="00000000" w:rsidRPr="00000000">
          <w:rPr>
            <w:rFonts w:ascii="Google Sans" w:cs="Google Sans" w:eastAsia="Google Sans" w:hAnsi="Google Sans"/>
            <w:color w:val="0000ee"/>
            <w:sz w:val="24"/>
            <w:szCs w:val="24"/>
            <w:u w:val="single"/>
            <w:rtl w:val="0"/>
          </w:rPr>
          <w:t xml:space="preserve">https://www.indiabudget.gov.in/budget2024-25/doc/eb/vol1.pdf</w:t>
        </w:r>
      </w:hyperlink>
      <w:r w:rsidDel="00000000" w:rsidR="00000000" w:rsidRPr="00000000">
        <w:rPr>
          <w:rtl w:val="0"/>
        </w:rPr>
      </w:r>
    </w:p>
    <w:p w:rsidR="00000000" w:rsidDel="00000000" w:rsidP="00000000" w:rsidRDefault="00000000" w:rsidRPr="00000000" w14:paraId="000000C5">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Annual Report 2024-25 - Morth, accessed February 22, 2026, </w:t>
      </w:r>
      <w:hyperlink r:id="rId28">
        <w:r w:rsidDel="00000000" w:rsidR="00000000" w:rsidRPr="00000000">
          <w:rPr>
            <w:rFonts w:ascii="Google Sans" w:cs="Google Sans" w:eastAsia="Google Sans" w:hAnsi="Google Sans"/>
            <w:color w:val="0000ee"/>
            <w:sz w:val="24"/>
            <w:szCs w:val="24"/>
            <w:u w:val="single"/>
            <w:rtl w:val="0"/>
          </w:rPr>
          <w:t xml:space="preserve">https://morth.nic.in/sites/default/files/Annual-Report-English-with-Cover.pdf</w:t>
        </w:r>
      </w:hyperlink>
      <w:r w:rsidDel="00000000" w:rsidR="00000000" w:rsidRPr="00000000">
        <w:rPr>
          <w:rtl w:val="0"/>
        </w:rPr>
      </w:r>
    </w:p>
    <w:p w:rsidR="00000000" w:rsidDel="00000000" w:rsidP="00000000" w:rsidRDefault="00000000" w:rsidRPr="00000000" w14:paraId="000000C6">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Demand for Grants 2024-25 Analysis - Road Transport and Highways - PRS India, accessed February 22, 2026, </w:t>
      </w:r>
      <w:hyperlink r:id="rId29">
        <w:r w:rsidDel="00000000" w:rsidR="00000000" w:rsidRPr="00000000">
          <w:rPr>
            <w:rFonts w:ascii="Google Sans" w:cs="Google Sans" w:eastAsia="Google Sans" w:hAnsi="Google Sans"/>
            <w:color w:val="0000ee"/>
            <w:sz w:val="24"/>
            <w:szCs w:val="24"/>
            <w:u w:val="single"/>
            <w:rtl w:val="0"/>
          </w:rPr>
          <w:t xml:space="preserve">https://prsindia.org/files/budget/budget_parliament/2024/DFG_Analysis_2024-25-Road.pdf</w:t>
        </w:r>
      </w:hyperlink>
      <w:r w:rsidDel="00000000" w:rsidR="00000000" w:rsidRPr="00000000">
        <w:rPr>
          <w:rtl w:val="0"/>
        </w:rPr>
      </w:r>
    </w:p>
    <w:p w:rsidR="00000000" w:rsidDel="00000000" w:rsidP="00000000" w:rsidRDefault="00000000" w:rsidRPr="00000000" w14:paraId="000000C7">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infrastructure development projects - PIB, accessed February 22, 2026, </w:t>
      </w:r>
      <w:hyperlink r:id="rId30">
        <w:r w:rsidDel="00000000" w:rsidR="00000000" w:rsidRPr="00000000">
          <w:rPr>
            <w:rFonts w:ascii="Google Sans" w:cs="Google Sans" w:eastAsia="Google Sans" w:hAnsi="Google Sans"/>
            <w:color w:val="0000ee"/>
            <w:sz w:val="24"/>
            <w:szCs w:val="24"/>
            <w:u w:val="single"/>
            <w:rtl w:val="0"/>
          </w:rPr>
          <w:t xml:space="preserve">https://www.pib.gov.in/PressReleaseIframePage.aspx?PRID=2115215</w:t>
        </w:r>
      </w:hyperlink>
      <w:r w:rsidDel="00000000" w:rsidR="00000000" w:rsidRPr="00000000">
        <w:rPr>
          <w:rtl w:val="0"/>
        </w:rPr>
      </w:r>
    </w:p>
    <w:p w:rsidR="00000000" w:rsidDel="00000000" w:rsidP="00000000" w:rsidRDefault="00000000" w:rsidRPr="00000000" w14:paraId="000000C8">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Year End Review 2025 – Ministry of Road Transport &amp; Highways - Press Release:Press Information Bureau, accessed February 22, 2026, </w:t>
      </w:r>
      <w:hyperlink r:id="rId31">
        <w:r w:rsidDel="00000000" w:rsidR="00000000" w:rsidRPr="00000000">
          <w:rPr>
            <w:rFonts w:ascii="Google Sans" w:cs="Google Sans" w:eastAsia="Google Sans" w:hAnsi="Google Sans"/>
            <w:color w:val="0000ee"/>
            <w:sz w:val="24"/>
            <w:szCs w:val="24"/>
            <w:u w:val="single"/>
            <w:rtl w:val="0"/>
          </w:rPr>
          <w:t xml:space="preserve">https://www.pib.gov.in/PressReleasePage.aspx?PRID=2209837</w:t>
        </w:r>
      </w:hyperlink>
      <w:r w:rsidDel="00000000" w:rsidR="00000000" w:rsidRPr="00000000">
        <w:rPr>
          <w:rtl w:val="0"/>
        </w:rPr>
      </w:r>
    </w:p>
    <w:p w:rsidR="00000000" w:rsidDel="00000000" w:rsidP="00000000" w:rsidRDefault="00000000" w:rsidRPr="00000000" w14:paraId="000000C9">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Rs 6.22 lakh crore allocated to MoD, highest among Ministries, in Regular Union Budget 2024-25; 4.79% higher than FY 2023-24, accessed February 22, 2026, </w:t>
      </w:r>
      <w:hyperlink r:id="rId32">
        <w:r w:rsidDel="00000000" w:rsidR="00000000" w:rsidRPr="00000000">
          <w:rPr>
            <w:rFonts w:ascii="Google Sans" w:cs="Google Sans" w:eastAsia="Google Sans" w:hAnsi="Google Sans"/>
            <w:color w:val="0000ee"/>
            <w:sz w:val="24"/>
            <w:szCs w:val="24"/>
            <w:u w:val="single"/>
            <w:rtl w:val="0"/>
          </w:rPr>
          <w:t xml:space="preserve">https://www.pib.gov.in/PressReleasePage.aspx?PRID=2035748</w:t>
        </w:r>
      </w:hyperlink>
      <w:r w:rsidDel="00000000" w:rsidR="00000000" w:rsidRPr="00000000">
        <w:rPr>
          <w:rtl w:val="0"/>
        </w:rPr>
      </w:r>
    </w:p>
    <w:p w:rsidR="00000000" w:rsidDel="00000000" w:rsidP="00000000" w:rsidRDefault="00000000" w:rsidRPr="00000000" w14:paraId="000000CA">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Defence Budget 2024–25: Key Highlights - MP-IDSA, accessed February 22, 2026, </w:t>
      </w:r>
      <w:hyperlink r:id="rId33">
        <w:r w:rsidDel="00000000" w:rsidR="00000000" w:rsidRPr="00000000">
          <w:rPr>
            <w:rFonts w:ascii="Google Sans" w:cs="Google Sans" w:eastAsia="Google Sans" w:hAnsi="Google Sans"/>
            <w:color w:val="0000ee"/>
            <w:sz w:val="24"/>
            <w:szCs w:val="24"/>
            <w:u w:val="single"/>
            <w:rtl w:val="0"/>
          </w:rPr>
          <w:t xml:space="preserve">https://idsa.in/publisher/issuebrief/defence-budget-2024-25-key-highlights</w:t>
        </w:r>
      </w:hyperlink>
      <w:r w:rsidDel="00000000" w:rsidR="00000000" w:rsidRPr="00000000">
        <w:rPr>
          <w:rtl w:val="0"/>
        </w:rPr>
      </w:r>
    </w:p>
    <w:p w:rsidR="00000000" w:rsidDel="00000000" w:rsidP="00000000" w:rsidRDefault="00000000" w:rsidRPr="00000000" w14:paraId="000000CB">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Infrastructure Development in India: Market Size, Investments, Govt Initiatives | IBEF, accessed February 22, 2026, </w:t>
      </w:r>
      <w:hyperlink r:id="rId34">
        <w:r w:rsidDel="00000000" w:rsidR="00000000" w:rsidRPr="00000000">
          <w:rPr>
            <w:rFonts w:ascii="Google Sans" w:cs="Google Sans" w:eastAsia="Google Sans" w:hAnsi="Google Sans"/>
            <w:color w:val="0000ee"/>
            <w:sz w:val="24"/>
            <w:szCs w:val="24"/>
            <w:u w:val="single"/>
            <w:rtl w:val="0"/>
          </w:rPr>
          <w:t xml:space="preserve">https://www.ibef.org/industry/infrastructure-sector-india</w:t>
        </w:r>
      </w:hyperlink>
      <w:r w:rsidDel="00000000" w:rsidR="00000000" w:rsidRPr="00000000">
        <w:rPr>
          <w:rtl w:val="0"/>
        </w:rPr>
      </w:r>
    </w:p>
    <w:p w:rsidR="00000000" w:rsidDel="00000000" w:rsidP="00000000" w:rsidRDefault="00000000" w:rsidRPr="00000000" w14:paraId="000000CC">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Finance Commission - Wikipedia, accessed February 22, 2026, </w:t>
      </w:r>
      <w:hyperlink r:id="rId35">
        <w:r w:rsidDel="00000000" w:rsidR="00000000" w:rsidRPr="00000000">
          <w:rPr>
            <w:rFonts w:ascii="Google Sans" w:cs="Google Sans" w:eastAsia="Google Sans" w:hAnsi="Google Sans"/>
            <w:color w:val="0000ee"/>
            <w:sz w:val="24"/>
            <w:szCs w:val="24"/>
            <w:u w:val="single"/>
            <w:rtl w:val="0"/>
          </w:rPr>
          <w:t xml:space="preserve">https://en.wikipedia.org/wiki/Finance_Commission</w:t>
        </w:r>
      </w:hyperlink>
      <w:r w:rsidDel="00000000" w:rsidR="00000000" w:rsidRPr="00000000">
        <w:rPr>
          <w:rtl w:val="0"/>
        </w:rPr>
      </w:r>
    </w:p>
    <w:p w:rsidR="00000000" w:rsidDel="00000000" w:rsidP="00000000" w:rsidRDefault="00000000" w:rsidRPr="00000000" w14:paraId="000000CD">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Finance Commission of India: Background, Functions &amp; Members - Testbook, accessed February 22, 2026, </w:t>
      </w:r>
      <w:hyperlink r:id="rId36">
        <w:r w:rsidDel="00000000" w:rsidR="00000000" w:rsidRPr="00000000">
          <w:rPr>
            <w:rFonts w:ascii="Google Sans" w:cs="Google Sans" w:eastAsia="Google Sans" w:hAnsi="Google Sans"/>
            <w:color w:val="0000ee"/>
            <w:sz w:val="24"/>
            <w:szCs w:val="24"/>
            <w:u w:val="single"/>
            <w:rtl w:val="0"/>
          </w:rPr>
          <w:t xml:space="preserve">https://testbook.com/ias-preparation/finance-commission-of-india</w:t>
        </w:r>
      </w:hyperlink>
      <w:r w:rsidDel="00000000" w:rsidR="00000000" w:rsidRPr="00000000">
        <w:rPr>
          <w:rtl w:val="0"/>
        </w:rPr>
      </w:r>
    </w:p>
    <w:p w:rsidR="00000000" w:rsidDel="00000000" w:rsidP="00000000" w:rsidRDefault="00000000" w:rsidRPr="00000000" w14:paraId="000000CE">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Report of the Sixteenth Finance Commission Volume 1 - Budget, accessed February 22, 2026, </w:t>
      </w:r>
      <w:hyperlink r:id="rId37">
        <w:r w:rsidDel="00000000" w:rsidR="00000000" w:rsidRPr="00000000">
          <w:rPr>
            <w:rFonts w:ascii="Google Sans" w:cs="Google Sans" w:eastAsia="Google Sans" w:hAnsi="Google Sans"/>
            <w:color w:val="0000ee"/>
            <w:sz w:val="24"/>
            <w:szCs w:val="24"/>
            <w:u w:val="single"/>
            <w:rtl w:val="0"/>
          </w:rPr>
          <w:t xml:space="preserve">https://www.indiabudget.gov.in/doc/16fcvol1.pdf</w:t>
        </w:r>
      </w:hyperlink>
      <w:r w:rsidDel="00000000" w:rsidR="00000000" w:rsidRPr="00000000">
        <w:rPr>
          <w:rtl w:val="0"/>
        </w:rPr>
      </w:r>
    </w:p>
    <w:p w:rsidR="00000000" w:rsidDel="00000000" w:rsidP="00000000" w:rsidRDefault="00000000" w:rsidRPr="00000000" w14:paraId="000000CF">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Finance Commission, India, accessed February 22, 2026, </w:t>
      </w:r>
      <w:hyperlink r:id="rId38">
        <w:r w:rsidDel="00000000" w:rsidR="00000000" w:rsidRPr="00000000">
          <w:rPr>
            <w:rFonts w:ascii="Google Sans" w:cs="Google Sans" w:eastAsia="Google Sans" w:hAnsi="Google Sans"/>
            <w:color w:val="0000ee"/>
            <w:sz w:val="24"/>
            <w:szCs w:val="24"/>
            <w:u w:val="single"/>
            <w:rtl w:val="0"/>
          </w:rPr>
          <w:t xml:space="preserve">https://fincomindia.nic.in/</w:t>
        </w:r>
      </w:hyperlink>
      <w:r w:rsidDel="00000000" w:rsidR="00000000" w:rsidRPr="00000000">
        <w:rPr>
          <w:rtl w:val="0"/>
        </w:rPr>
      </w:r>
    </w:p>
    <w:p w:rsidR="00000000" w:rsidDel="00000000" w:rsidP="00000000" w:rsidRDefault="00000000" w:rsidRPr="00000000" w14:paraId="000000D0">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Economic Survey 2025-26 Statistical Appendix | 65 T able 2.4: Receipts and Expenditure of the Central Government as a perc - Union Budget, accessed February 22, 2026, </w:t>
      </w:r>
      <w:hyperlink r:id="rId39">
        <w:r w:rsidDel="00000000" w:rsidR="00000000" w:rsidRPr="00000000">
          <w:rPr>
            <w:rFonts w:ascii="Google Sans" w:cs="Google Sans" w:eastAsia="Google Sans" w:hAnsi="Google Sans"/>
            <w:color w:val="0000ee"/>
            <w:sz w:val="24"/>
            <w:szCs w:val="24"/>
            <w:u w:val="single"/>
            <w:rtl w:val="0"/>
          </w:rPr>
          <w:t xml:space="preserve">https://www.indiabudget.gov.in/economicsurvey/doc/stat/tab2.4.pdf</w:t>
        </w:r>
      </w:hyperlink>
      <w:r w:rsidDel="00000000" w:rsidR="00000000" w:rsidRPr="00000000">
        <w:rPr>
          <w:rtl w:val="0"/>
        </w:rPr>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Google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48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2">
    <w:lvl w:ilvl="0">
      <w:start w:val="1"/>
      <w:numFmt w:val="bullet"/>
      <w:lvlText w:val="●"/>
      <w:lvlJc w:val="left"/>
      <w:pPr>
        <w:ind w:left="465"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3">
    <w:lvl w:ilvl="0">
      <w:start w:val="1"/>
      <w:numFmt w:val="decimal"/>
      <w:lvlText w:val="%1."/>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s>
</file>

<file path=word/_rels/document.xml.rels><?xml version="1.0" encoding="UTF-8" standalone="yes"?><Relationships xmlns="http://schemas.openxmlformats.org/package/2006/relationships"><Relationship Id="rId20" Type="http://schemas.openxmlformats.org/officeDocument/2006/relationships/hyperlink" Target="https://www.nextias.com/newuploads/Nextias/2025/1/who-is-paying-india-bill-1736573758874.pdf" TargetMode="External"/><Relationship Id="rId22" Type="http://schemas.openxmlformats.org/officeDocument/2006/relationships/hyperlink" Target="https://sbi.bank.in/webfiles/uploads/files_2425/240724-SBI%20Union%20Budget%20Analysis%202024-25.pdf" TargetMode="External"/><Relationship Id="rId21" Type="http://schemas.openxmlformats.org/officeDocument/2006/relationships/hyperlink" Target="https://www.cenfa.org/budget-2024-25-income-tax-contributes-more-to-govt-revenue-than-corporations/" TargetMode="External"/><Relationship Id="rId24" Type="http://schemas.openxmlformats.org/officeDocument/2006/relationships/hyperlink" Target="https://cdn.visionias.in/value_added_material/c026a-summary-of-union-interim-budget-2024-25.pdf" TargetMode="External"/><Relationship Id="rId23" Type="http://schemas.openxmlformats.org/officeDocument/2006/relationships/hyperlink" Target="https://www.business-standard.com/budget/news/union-budget-2024-where-does-the-govt-get-its-money-where-does-it-go-124072300713_1.html"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indiabudget.gov.in/budget2024-25/economicsurvey/doc/echapter.pdf" TargetMode="External"/><Relationship Id="rId26" Type="http://schemas.openxmlformats.org/officeDocument/2006/relationships/hyperlink" Target="https://www.indiabudget.gov.in/budget2023-24/doc/Budget_at_Glance/bag1.pdf" TargetMode="External"/><Relationship Id="rId25" Type="http://schemas.openxmlformats.org/officeDocument/2006/relationships/hyperlink" Target="https://www.indiabudget.gov.in/budget2024-25(I)/index.php" TargetMode="External"/><Relationship Id="rId28" Type="http://schemas.openxmlformats.org/officeDocument/2006/relationships/hyperlink" Target="https://morth.nic.in/sites/default/files/Annual-Report-English-with-Cover.pdf" TargetMode="External"/><Relationship Id="rId27" Type="http://schemas.openxmlformats.org/officeDocument/2006/relationships/hyperlink" Target="https://www.indiabudget.gov.in/budget2024-25/doc/eb/vol1.pdf" TargetMode="External"/><Relationship Id="rId5" Type="http://schemas.openxmlformats.org/officeDocument/2006/relationships/styles" Target="styles.xml"/><Relationship Id="rId6" Type="http://schemas.openxmlformats.org/officeDocument/2006/relationships/hyperlink" Target="https://prsindia.org/budgets/parliament/union-budget-2024-25-analysis" TargetMode="External"/><Relationship Id="rId29" Type="http://schemas.openxmlformats.org/officeDocument/2006/relationships/hyperlink" Target="https://prsindia.org/files/budget/budget_parliament/2024/DFG_Analysis_2024-25-Road.pdf" TargetMode="External"/><Relationship Id="rId7" Type="http://schemas.openxmlformats.org/officeDocument/2006/relationships/hyperlink" Target="https://www.invescomutualfund.com/docs/default-source/default-document-library/union-budget-2024-25.pdf?sfvrsn=106c95c2_0" TargetMode="External"/><Relationship Id="rId8" Type="http://schemas.openxmlformats.org/officeDocument/2006/relationships/hyperlink" Target="https://prsindia.org/policy/report-summaries/economic-survey-2023-24" TargetMode="External"/><Relationship Id="rId31" Type="http://schemas.openxmlformats.org/officeDocument/2006/relationships/hyperlink" Target="https://www.pib.gov.in/PressReleasePage.aspx?PRID=2209837" TargetMode="External"/><Relationship Id="rId30" Type="http://schemas.openxmlformats.org/officeDocument/2006/relationships/hyperlink" Target="https://www.pib.gov.in/PressReleaseIframePage.aspx?PRID=2115215" TargetMode="External"/><Relationship Id="rId11" Type="http://schemas.openxmlformats.org/officeDocument/2006/relationships/hyperlink" Target="https://prsindia.org/files/budget/budget_parliament/2024/Union_Budget_Analysis_2024-25.pdf" TargetMode="External"/><Relationship Id="rId33" Type="http://schemas.openxmlformats.org/officeDocument/2006/relationships/hyperlink" Target="https://idsa.in/publisher/issuebrief/defence-budget-2024-25-key-highlights" TargetMode="External"/><Relationship Id="rId10" Type="http://schemas.openxmlformats.org/officeDocument/2006/relationships/hyperlink" Target="https://www.pib.gov.in/PressReleasePage.aspx?PRID=2035560" TargetMode="External"/><Relationship Id="rId32" Type="http://schemas.openxmlformats.org/officeDocument/2006/relationships/hyperlink" Target="https://www.pib.gov.in/PressReleasePage.aspx?PRID=2035748" TargetMode="External"/><Relationship Id="rId13" Type="http://schemas.openxmlformats.org/officeDocument/2006/relationships/hyperlink" Target="https://idbicapital.com/InstitutionReports/Uploads/Union_Budget_FY25_01022024.pdf" TargetMode="External"/><Relationship Id="rId35" Type="http://schemas.openxmlformats.org/officeDocument/2006/relationships/hyperlink" Target="https://en.wikipedia.org/wiki/Finance_Commission" TargetMode="External"/><Relationship Id="rId12" Type="http://schemas.openxmlformats.org/officeDocument/2006/relationships/hyperlink" Target="https://www.indiabudget.gov.in/economicsurvey/doc/Infographics%20English.pdf" TargetMode="External"/><Relationship Id="rId34" Type="http://schemas.openxmlformats.org/officeDocument/2006/relationships/hyperlink" Target="https://www.ibef.org/industry/infrastructure-sector-india" TargetMode="External"/><Relationship Id="rId15" Type="http://schemas.openxmlformats.org/officeDocument/2006/relationships/hyperlink" Target="https://www.pib.gov.in/PressReleasePage.aspx?PRID=2035618" TargetMode="External"/><Relationship Id="rId37" Type="http://schemas.openxmlformats.org/officeDocument/2006/relationships/hyperlink" Target="https://www.indiabudget.gov.in/doc/16fcvol1.pdf" TargetMode="External"/><Relationship Id="rId14" Type="http://schemas.openxmlformats.org/officeDocument/2006/relationships/hyperlink" Target="https://www.ey.com/content/dam/ey-unified-site/ey-com/en-in/services/tax/economy-watch/2024/07/ey-economy-watch-july-2024.pdf" TargetMode="External"/><Relationship Id="rId36" Type="http://schemas.openxmlformats.org/officeDocument/2006/relationships/hyperlink" Target="https://testbook.com/ias-preparation/finance-commission-of-india" TargetMode="External"/><Relationship Id="rId17" Type="http://schemas.openxmlformats.org/officeDocument/2006/relationships/hyperlink" Target="https://prsindia.org/billtrack/prs-products/vital-stats-direct-taxes-in-india" TargetMode="External"/><Relationship Id="rId39" Type="http://schemas.openxmlformats.org/officeDocument/2006/relationships/hyperlink" Target="https://www.indiabudget.gov.in/economicsurvey/doc/stat/tab2.4.pdf" TargetMode="External"/><Relationship Id="rId16" Type="http://schemas.openxmlformats.org/officeDocument/2006/relationships/hyperlink" Target="https://www.indiabudget.gov.in/economicsurvey/doc/echapter.pdf" TargetMode="External"/><Relationship Id="rId38" Type="http://schemas.openxmlformats.org/officeDocument/2006/relationships/hyperlink" Target="https://fincomindia.nic.in/" TargetMode="External"/><Relationship Id="rId19" Type="http://schemas.openxmlformats.org/officeDocument/2006/relationships/hyperlink" Target="https://www.nextias.com/beyond-classroom/tax-system-in-india" TargetMode="External"/><Relationship Id="rId18" Type="http://schemas.openxmlformats.org/officeDocument/2006/relationships/hyperlink" Target="https://cleartax.in/s/tax-to-gdp-ratio"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GoogleSans-regular.ttf"/><Relationship Id="rId2" Type="http://schemas.openxmlformats.org/officeDocument/2006/relationships/font" Target="fonts/GoogleSans-bold.ttf"/><Relationship Id="rId3" Type="http://schemas.openxmlformats.org/officeDocument/2006/relationships/font" Target="fonts/GoogleSans-italic.ttf"/><Relationship Id="rId4" Type="http://schemas.openxmlformats.org/officeDocument/2006/relationships/font" Target="fonts/Google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