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Comprehensive Macroeconomic Analysis and Policy Evolution: An Advanced Study Compendium</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modern macroeconomic architecture of India represents a sophisticated synthesis of aggressive capital accumulation, stringent fiscal consolidation, and deliberate integration into global value chains. For analysts, policymakers, and advanced scholars of economic policy, understanding the present trajectory requires a multi-dimensional analysis that bridges contemporary high-frequency data with the historical policy interventions that birthed them. The Indian economy, transitioning rapidly from an agrarian-centric command structure to a services-led, market-oriented powerhouse, presents a complex matrix of variables. Current economic indicators, as detailed in the Union Budget 2026-27 and the Economic Survey 2025-26, indicate an economy in a "goldilocks" phase—characterized by robust growth, tamed inflation, and narrowing external deficits.</w:t>
      </w:r>
      <w:r w:rsidDel="00000000" w:rsidR="00000000" w:rsidRPr="00000000">
        <w:rPr>
          <w:rFonts w:ascii="Google Sans Text" w:cs="Google Sans Text" w:eastAsia="Google Sans Text" w:hAnsi="Google Sans Text"/>
          <w:color w:val="444746"/>
          <w:sz w:val="24"/>
          <w:szCs w:val="24"/>
          <w:vertAlign w:val="superscript"/>
          <w:rtl w:val="0"/>
        </w:rPr>
        <w:t xml:space="preserve">1</w:t>
      </w:r>
      <w:r w:rsidDel="00000000" w:rsidR="00000000" w:rsidRPr="00000000">
        <w:rPr>
          <w:rFonts w:ascii="Google Sans Text" w:cs="Google Sans Text" w:eastAsia="Google Sans Text" w:hAnsi="Google Sans Text"/>
          <w:color w:val="1f1f1f"/>
          <w:rtl w:val="0"/>
        </w:rPr>
        <w:t xml:space="preserve"> However, these contemporary triumphs are inextricably linked to the structural adjustments catalyzed by the 1991 Balance of Payments crisis, which dismantled the archaic "License Raj" and laid the institutional groundwork for modern regulatory frameworks.</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This exhaustive research report delivers an empirical and theoretical dissection of India's economic paradigms. It is structured to provide an exhaustive exploration of four critical dimensions: a granular macroeconomic data snapshot focusing on budget estimates and sectoral value addition; a chronological and theoretical review of the 1991 liberalization reforms and their enduring legislative legacies; an empirical assessment of domestic agricultural output and the contemporary international trade architecture; and a comparative institutional analysis detailing the regulatory and planning bodies that govern the nation's financial and developmental trajectory. Through this exhaustive exploration, the intricate causal relationships between fiscal prudence, monetary neutrality, and structural growth are systematically unveiled.</w:t>
      </w:r>
    </w:p>
    <w:p w:rsidR="00000000" w:rsidDel="00000000" w:rsidP="00000000" w:rsidRDefault="00000000" w:rsidRPr="00000000" w14:paraId="00000004">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Resource 1: The Macro Data Snapshot (Empirical Figures and Trends)</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macroeconomic stability of the sovereign is most accurately diagnosed through the lens of its budgetary aggregates, the compositional health of its Gross Value Added (GVA), and the buoyancy of its tax architecture. The data sourced from the Union Budget 2026-27 and the Economic Survey 2025-26 underscores a strategic transition. The government is actively shifting away from consumption-driven revenue expenditure toward multiplier-heavy capital expenditure, all while adhering to a strict fiscal consolidation glide path.</w:t>
      </w:r>
    </w:p>
    <w:p w:rsidR="00000000" w:rsidDel="00000000" w:rsidP="00000000" w:rsidRDefault="00000000" w:rsidRPr="00000000" w14:paraId="00000006">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Deficit Dynamics and Fiscal Consolidation</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fiscal parameters of the Union Government reflect a highly deliberate commitment to debt sustainability. Deficits are not merely accounting shortfalls; they are profound indicators of sovereign borrowing requirements, which directly influence domestic interest rates, private sector credit availability (the crowding-out effect), and sovereign credit ratings.</w:t>
      </w:r>
    </w:p>
    <w:tbl>
      <w:tblPr>
        <w:tblStyle w:val="Table1"/>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Deficit Indicator (% of GDP)</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2024-25 (Actuals)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2025-26 (Revised Estimates)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2026-27 (Budget Estimates)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Fiscal Deficit</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4.8%</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4.4%</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4.3%</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Revenue Deficit</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1.7%</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1.5%</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1.5%</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Primary Deficit</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1.4%</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0.8%</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0.7%</w:t>
            </w:r>
          </w:p>
        </w:tc>
      </w:tr>
    </w:tbl>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240" w:before="48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The budgeted Fiscal Deficit of 4.3 percent for the financial year 2026-27 demonstrates an unbroken continuum of fiscal prudence.</w:t>
      </w:r>
      <w:r w:rsidDel="00000000" w:rsidR="00000000" w:rsidRPr="00000000">
        <w:rPr>
          <w:rFonts w:ascii="Google Sans Text" w:cs="Google Sans Text" w:eastAsia="Google Sans Text" w:hAnsi="Google Sans Text"/>
          <w:color w:val="444746"/>
          <w:sz w:val="24"/>
          <w:szCs w:val="24"/>
          <w:vertAlign w:val="superscript"/>
          <w:rtl w:val="0"/>
        </w:rPr>
        <w:t xml:space="preserve">2</w:t>
      </w:r>
      <w:r w:rsidDel="00000000" w:rsidR="00000000" w:rsidRPr="00000000">
        <w:rPr>
          <w:rFonts w:ascii="Google Sans Text" w:cs="Google Sans Text" w:eastAsia="Google Sans Text" w:hAnsi="Google Sans Text"/>
          <w:color w:val="1f1f1f"/>
          <w:rtl w:val="0"/>
        </w:rPr>
        <w:t xml:space="preserve"> Coming down from 4.8 percent in the actuals of 2024-25 and 4.4 percent in the revised estimates of 2025-26, this steady compression is achieved despite a massive expansion in capital expenditure, which is budgeted at a record ₹12.22 lakh crore for FY27.</w:t>
      </w:r>
      <w:r w:rsidDel="00000000" w:rsidR="00000000" w:rsidRPr="00000000">
        <w:rPr>
          <w:rFonts w:ascii="Google Sans Text" w:cs="Google Sans Text" w:eastAsia="Google Sans Text" w:hAnsi="Google Sans Text"/>
          <w:color w:val="444746"/>
          <w:sz w:val="24"/>
          <w:szCs w:val="24"/>
          <w:vertAlign w:val="superscript"/>
          <w:rtl w:val="0"/>
        </w:rPr>
        <w:t xml:space="preserve">4</w:t>
      </w:r>
      <w:r w:rsidDel="00000000" w:rsidR="00000000" w:rsidRPr="00000000">
        <w:rPr>
          <w:rFonts w:ascii="Google Sans Text" w:cs="Google Sans Text" w:eastAsia="Google Sans Text" w:hAnsi="Google Sans Text"/>
          <w:color w:val="1f1f1f"/>
          <w:rtl w:val="0"/>
        </w:rPr>
        <w:t xml:space="preserve"> This reduction indicates that revenue receipts are growing at a pace sufficient to absorb the government's investment ambitions without triggering inflationary borrowing. Furthermore, the fiscal strategy has evolved from rigid adherence to the original Fiscal Responsibility and Budget Management (FRBM) Act deficit targets toward a more holistic debt-to-GDP targeting framework. The Union Government aims to reduce outstanding liabilities to a terminal target of 50 percent (± 1 percent) of GDP by the fiscal year 2030-31.</w:t>
      </w:r>
      <w:r w:rsidDel="00000000" w:rsidR="00000000" w:rsidRPr="00000000">
        <w:rPr>
          <w:rFonts w:ascii="Google Sans Text" w:cs="Google Sans Text" w:eastAsia="Google Sans Text" w:hAnsi="Google Sans Text"/>
          <w:color w:val="444746"/>
          <w:sz w:val="24"/>
          <w:szCs w:val="24"/>
          <w:vertAlign w:val="superscript"/>
          <w:rtl w:val="0"/>
        </w:rPr>
        <w:t xml:space="preserve">2</w:t>
      </w:r>
      <w:r w:rsidDel="00000000" w:rsidR="00000000" w:rsidRPr="00000000">
        <w:rPr>
          <w:rFonts w:ascii="Google Sans Text" w:cs="Google Sans Text" w:eastAsia="Google Sans Text" w:hAnsi="Google Sans Text"/>
          <w:color w:val="1f1f1f"/>
          <w:rtl w:val="0"/>
        </w:rPr>
        <w:t xml:space="preserve"> For the current fiscal cycle, the debt-to-GDP ratio is projected to decline to 55.6 percent in BE 2026-27, an improvement from the 56.1 percent recorded in RE 2025-26.</w:t>
      </w:r>
      <w:r w:rsidDel="00000000" w:rsidR="00000000" w:rsidRPr="00000000">
        <w:rPr>
          <w:rFonts w:ascii="Google Sans Text" w:cs="Google Sans Text" w:eastAsia="Google Sans Text" w:hAnsi="Google Sans Text"/>
          <w:color w:val="444746"/>
          <w:sz w:val="24"/>
          <w:szCs w:val="24"/>
          <w:vertAlign w:val="superscript"/>
          <w:rtl w:val="0"/>
        </w:rPr>
        <w:t xml:space="preserve">3</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Equally critical is the trajectory of the Primary Deficit. Calculated by deducting interest payments on legacy debt from the gross fiscal deficit, the primary deficit measures the current operating fiscal stance of the government. The dramatic reduction of the primary deficit to an estimated 0.7 percent of GDP in 2026-27—down from 1.4 percent in 2024-25—signals a structural transformation.</w:t>
      </w:r>
      <w:r w:rsidDel="00000000" w:rsidR="00000000" w:rsidRPr="00000000">
        <w:rPr>
          <w:rFonts w:ascii="Google Sans Text" w:cs="Google Sans Text" w:eastAsia="Google Sans Text" w:hAnsi="Google Sans Text"/>
          <w:color w:val="444746"/>
          <w:sz w:val="24"/>
          <w:szCs w:val="24"/>
          <w:vertAlign w:val="superscript"/>
          <w:rtl w:val="0"/>
        </w:rPr>
        <w:t xml:space="preserve">5</w:t>
      </w:r>
      <w:r w:rsidDel="00000000" w:rsidR="00000000" w:rsidRPr="00000000">
        <w:rPr>
          <w:rFonts w:ascii="Google Sans Text" w:cs="Google Sans Text" w:eastAsia="Google Sans Text" w:hAnsi="Google Sans Text"/>
          <w:color w:val="1f1f1f"/>
          <w:rtl w:val="0"/>
        </w:rPr>
        <w:t xml:space="preserve"> It implies that almost all new sovereign borrowing is utilized to service historical debt obligations rather than funding current administrative consumption. This operational efficiency is vital for ensuring intergenerational equity and maintaining the confidence of international bond markets, particularly following India's recent sovereign rating upgrades.</w:t>
      </w:r>
      <w:r w:rsidDel="00000000" w:rsidR="00000000" w:rsidRPr="00000000">
        <w:rPr>
          <w:rFonts w:ascii="Google Sans Text" w:cs="Google Sans Text" w:eastAsia="Google Sans Text" w:hAnsi="Google Sans Text"/>
          <w:color w:val="444746"/>
          <w:sz w:val="24"/>
          <w:szCs w:val="24"/>
          <w:vertAlign w:val="superscript"/>
          <w:rtl w:val="0"/>
        </w:rPr>
        <w:t xml:space="preserve">7</w:t>
      </w:r>
    </w:p>
    <w:p w:rsidR="00000000" w:rsidDel="00000000" w:rsidP="00000000" w:rsidRDefault="00000000" w:rsidRPr="00000000" w14:paraId="0000001A">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Output and Growth Matrix</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India's aggregate output metrics reinforce its position as the fastest-growing major economy globally. The growth engine is increasingly supported by strong Private Final Consumption Expenditure (PFCE) and Gross Fixed Capital Formation (GFCF), insulating the domestic economy from external geopolitical trade fragmentations.</w:t>
      </w:r>
    </w:p>
    <w:tbl>
      <w:tblPr>
        <w:tblStyle w:val="Table2"/>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Economic Growth Indicator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2024-25 (Actuals)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2025-26 (First Advance Estimates)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2026-27 (Budget Estimates / Projected)</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Overall Real GDP Growth</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6.5%</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7.4%</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6.8% - 7.2%</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Nominal GDP Growth</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9.8%</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8.0%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10.0%</w:t>
            </w:r>
          </w:p>
        </w:tc>
      </w:tr>
    </w:tbl>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240" w:before="48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As per the First Advance Estimates (FAE), Real GDP for FY26 expanded by an impressive 7.4 percent, surpassing baseline projections and reflecting broad-based momentum across domestic sectors.</w:t>
      </w:r>
      <w:r w:rsidDel="00000000" w:rsidR="00000000" w:rsidRPr="00000000">
        <w:rPr>
          <w:rFonts w:ascii="Google Sans Text" w:cs="Google Sans Text" w:eastAsia="Google Sans Text" w:hAnsi="Google Sans Text"/>
          <w:color w:val="444746"/>
          <w:sz w:val="24"/>
          <w:szCs w:val="24"/>
          <w:vertAlign w:val="superscript"/>
          <w:rtl w:val="0"/>
        </w:rPr>
        <w:t xml:space="preserve">8</w:t>
      </w:r>
      <w:r w:rsidDel="00000000" w:rsidR="00000000" w:rsidRPr="00000000">
        <w:rPr>
          <w:rFonts w:ascii="Google Sans Text" w:cs="Google Sans Text" w:eastAsia="Google Sans Text" w:hAnsi="Google Sans Text"/>
          <w:color w:val="1f1f1f"/>
          <w:rtl w:val="0"/>
        </w:rPr>
        <w:t xml:space="preserve"> Concurrently, PFCE grew by 7.0 percent, elevating its share to 61.5 percent of the GDP—the highest proportionate level recorded since 2012.</w:t>
      </w:r>
      <w:r w:rsidDel="00000000" w:rsidR="00000000" w:rsidRPr="00000000">
        <w:rPr>
          <w:rFonts w:ascii="Google Sans Text" w:cs="Google Sans Text" w:eastAsia="Google Sans Text" w:hAnsi="Google Sans Text"/>
          <w:color w:val="444746"/>
          <w:sz w:val="24"/>
          <w:szCs w:val="24"/>
          <w:vertAlign w:val="superscript"/>
          <w:rtl w:val="0"/>
        </w:rPr>
        <w:t xml:space="preserve">9</w:t>
      </w:r>
      <w:r w:rsidDel="00000000" w:rsidR="00000000" w:rsidRPr="00000000">
        <w:rPr>
          <w:rFonts w:ascii="Google Sans Text" w:cs="Google Sans Text" w:eastAsia="Google Sans Text" w:hAnsi="Google Sans Text"/>
          <w:color w:val="1f1f1f"/>
          <w:rtl w:val="0"/>
        </w:rPr>
        <w:t xml:space="preserve"> This consumption surge is underpinned by stable employment conditions, rising real incomes, and the suppression of retail inflation.</w:t>
      </w:r>
      <w:r w:rsidDel="00000000" w:rsidR="00000000" w:rsidRPr="00000000">
        <w:rPr>
          <w:rFonts w:ascii="Google Sans Text" w:cs="Google Sans Text" w:eastAsia="Google Sans Text" w:hAnsi="Google Sans Text"/>
          <w:color w:val="444746"/>
          <w:sz w:val="24"/>
          <w:szCs w:val="24"/>
          <w:vertAlign w:val="superscript"/>
          <w:rtl w:val="0"/>
        </w:rPr>
        <w:t xml:space="preserve">9</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However, a critical nuance emerges in the Nominal GDP growth metrics. In FY26, nominal growth decelerated to 8.0 percent, a function of an exceptionally low implicit price deflator.</w:t>
      </w:r>
      <w:r w:rsidDel="00000000" w:rsidR="00000000" w:rsidRPr="00000000">
        <w:rPr>
          <w:rFonts w:ascii="Google Sans Text" w:cs="Google Sans Text" w:eastAsia="Google Sans Text" w:hAnsi="Google Sans Text"/>
          <w:color w:val="444746"/>
          <w:sz w:val="24"/>
          <w:szCs w:val="24"/>
          <w:vertAlign w:val="superscript"/>
          <w:rtl w:val="0"/>
        </w:rPr>
        <w:t xml:space="preserve">10</w:t>
      </w:r>
      <w:r w:rsidDel="00000000" w:rsidR="00000000" w:rsidRPr="00000000">
        <w:rPr>
          <w:rFonts w:ascii="Google Sans Text" w:cs="Google Sans Text" w:eastAsia="Google Sans Text" w:hAnsi="Google Sans Text"/>
          <w:color w:val="1f1f1f"/>
          <w:rtl w:val="0"/>
        </w:rPr>
        <w:t xml:space="preserve"> Because nominal GDP serves as the denominator for fiscal ratios and the baseline for tax collection estimates, this deceleration momentarily constrained absolute tax buoyancy. Anticipating a normalization of the inflation deflator and continued real economic expansion, the government has projected a Nominal GDP growth rate of 10.0 percent for the FY 2026-27 budget cycle, establishing a highly credible and conservative base for its revenue calculations.</w:t>
      </w:r>
      <w:r w:rsidDel="00000000" w:rsidR="00000000" w:rsidRPr="00000000">
        <w:rPr>
          <w:rFonts w:ascii="Google Sans Text" w:cs="Google Sans Text" w:eastAsia="Google Sans Text" w:hAnsi="Google Sans Text"/>
          <w:color w:val="444746"/>
          <w:sz w:val="24"/>
          <w:szCs w:val="24"/>
          <w:vertAlign w:val="superscript"/>
          <w:rtl w:val="0"/>
        </w:rPr>
        <w:t xml:space="preserve">5</w:t>
      </w:r>
      <w:r w:rsidDel="00000000" w:rsidR="00000000" w:rsidRPr="00000000">
        <w:rPr>
          <w:rFonts w:ascii="Google Sans Text" w:cs="Google Sans Text" w:eastAsia="Google Sans Text" w:hAnsi="Google Sans Text"/>
          <w:color w:val="1f1f1f"/>
          <w:rtl w:val="0"/>
        </w:rPr>
        <w:t xml:space="preserve"> The medium-term potential real growth rate of the Indian economy has been firmly re-assessed at approximately 7.0 percent.</w:t>
      </w:r>
      <w:r w:rsidDel="00000000" w:rsidR="00000000" w:rsidRPr="00000000">
        <w:rPr>
          <w:rFonts w:ascii="Google Sans Text" w:cs="Google Sans Text" w:eastAsia="Google Sans Text" w:hAnsi="Google Sans Text"/>
          <w:color w:val="444746"/>
          <w:sz w:val="24"/>
          <w:szCs w:val="24"/>
          <w:vertAlign w:val="superscript"/>
          <w:rtl w:val="0"/>
        </w:rPr>
        <w:t xml:space="preserve">8</w:t>
      </w:r>
    </w:p>
    <w:p w:rsidR="00000000" w:rsidDel="00000000" w:rsidP="00000000" w:rsidRDefault="00000000" w:rsidRPr="00000000" w14:paraId="0000002A">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Sectoral Contribution to Gross Value Added (GVA)</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structural composition of the Indian economy deviates markedly from the traditional industrialization sequence observed in East Asian developmental states. Rather than transitioning sequentially from agriculture to low-skill manufacturing and finally to services, India executed an early leap directly into a services-dominated structure.</w:t>
      </w:r>
    </w:p>
    <w:tbl>
      <w:tblPr>
        <w:tblStyle w:val="Table3"/>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Economic Sector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Share in Total GVA (FY26 FAE)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Sectoral Growth Rate (FY26 FAE)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Agriculture and Allied Activities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~18.2%</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3.1%</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Industry and Manufacturing</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~25.4%</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6.2%</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Services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56.4%</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9.1%</w:t>
            </w:r>
          </w:p>
        </w:tc>
      </w:tr>
    </w:tbl>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240" w:before="48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The </w:t>
      </w:r>
      <w:r w:rsidDel="00000000" w:rsidR="00000000" w:rsidRPr="00000000">
        <w:rPr>
          <w:rFonts w:ascii="Google Sans Text" w:cs="Google Sans Text" w:eastAsia="Google Sans Text" w:hAnsi="Google Sans Text"/>
          <w:b w:val="1"/>
          <w:bCs w:val="1"/>
          <w:color w:val="1f1f1f"/>
          <w:rtl w:val="0"/>
        </w:rPr>
        <w:t xml:space="preserve">Services sector</w:t>
      </w:r>
      <w:r w:rsidDel="00000000" w:rsidR="00000000" w:rsidRPr="00000000">
        <w:rPr>
          <w:rFonts w:ascii="Google Sans Text" w:cs="Google Sans Text" w:eastAsia="Google Sans Text" w:hAnsi="Google Sans Text"/>
          <w:color w:val="1f1f1f"/>
          <w:rtl w:val="0"/>
        </w:rPr>
        <w:t xml:space="preserve"> remains the undisputed anchor of macroeconomic stability, accounting for an unprecedented 56.4 percent of the total GVA in the First Advance Estimates of FY26.</w:t>
      </w:r>
      <w:r w:rsidDel="00000000" w:rsidR="00000000" w:rsidRPr="00000000">
        <w:rPr>
          <w:rFonts w:ascii="Google Sans Text" w:cs="Google Sans Text" w:eastAsia="Google Sans Text" w:hAnsi="Google Sans Text"/>
          <w:color w:val="444746"/>
          <w:sz w:val="24"/>
          <w:szCs w:val="24"/>
          <w:vertAlign w:val="superscript"/>
          <w:rtl w:val="0"/>
        </w:rPr>
        <w:t xml:space="preserve">11</w:t>
      </w:r>
      <w:r w:rsidDel="00000000" w:rsidR="00000000" w:rsidRPr="00000000">
        <w:rPr>
          <w:rFonts w:ascii="Google Sans Text" w:cs="Google Sans Text" w:eastAsia="Google Sans Text" w:hAnsi="Google Sans Text"/>
          <w:color w:val="1f1f1f"/>
          <w:rtl w:val="0"/>
        </w:rPr>
        <w:t xml:space="preserve"> Expanding at a rapid clip of 9.1 percent, this sector is highly diversified, driven by modern, tradable, and digitally delivered services.</w:t>
      </w:r>
      <w:r w:rsidDel="00000000" w:rsidR="00000000" w:rsidRPr="00000000">
        <w:rPr>
          <w:rFonts w:ascii="Google Sans Text" w:cs="Google Sans Text" w:eastAsia="Google Sans Text" w:hAnsi="Google Sans Text"/>
          <w:color w:val="444746"/>
          <w:sz w:val="24"/>
          <w:szCs w:val="24"/>
          <w:vertAlign w:val="superscript"/>
          <w:rtl w:val="0"/>
        </w:rPr>
        <w:t xml:space="preserve">11</w:t>
      </w:r>
      <w:r w:rsidDel="00000000" w:rsidR="00000000" w:rsidRPr="00000000">
        <w:rPr>
          <w:rFonts w:ascii="Google Sans Text" w:cs="Google Sans Text" w:eastAsia="Google Sans Text" w:hAnsi="Google Sans Text"/>
          <w:color w:val="1f1f1f"/>
          <w:rtl w:val="0"/>
        </w:rPr>
        <w:t xml:space="preserve"> High-end professional services, financial technology, and real estate are the primary catalysts. Furthermore, India has cemented its position as a dominant hub for Global Capability Centres (GCCs), ensuring that services trade remains robust even when global merchandise trade stagnates due to protectionist tariffs.</w:t>
      </w:r>
      <w:r w:rsidDel="00000000" w:rsidR="00000000" w:rsidRPr="00000000">
        <w:rPr>
          <w:rFonts w:ascii="Google Sans Text" w:cs="Google Sans Text" w:eastAsia="Google Sans Text" w:hAnsi="Google Sans Text"/>
          <w:color w:val="444746"/>
          <w:sz w:val="24"/>
          <w:szCs w:val="24"/>
          <w:vertAlign w:val="superscript"/>
          <w:rtl w:val="0"/>
        </w:rPr>
        <w:t xml:space="preserve">9</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The </w:t>
      </w:r>
      <w:r w:rsidDel="00000000" w:rsidR="00000000" w:rsidRPr="00000000">
        <w:rPr>
          <w:rFonts w:ascii="Google Sans Text" w:cs="Google Sans Text" w:eastAsia="Google Sans Text" w:hAnsi="Google Sans Text"/>
          <w:b w:val="1"/>
          <w:bCs w:val="1"/>
          <w:color w:val="1f1f1f"/>
          <w:rtl w:val="0"/>
        </w:rPr>
        <w:t xml:space="preserve">Industrial sector</w:t>
      </w:r>
      <w:r w:rsidDel="00000000" w:rsidR="00000000" w:rsidRPr="00000000">
        <w:rPr>
          <w:rFonts w:ascii="Google Sans Text" w:cs="Google Sans Text" w:eastAsia="Google Sans Text" w:hAnsi="Google Sans Text"/>
          <w:color w:val="1f1f1f"/>
          <w:rtl w:val="0"/>
        </w:rPr>
        <w:t xml:space="preserve">, encompassing manufacturing, mining, and construction, grew by 6.2 percent, with the core manufacturing component expanding at an accelerated 7.0 percent.</w:t>
      </w:r>
      <w:r w:rsidDel="00000000" w:rsidR="00000000" w:rsidRPr="00000000">
        <w:rPr>
          <w:rFonts w:ascii="Google Sans Text" w:cs="Google Sans Text" w:eastAsia="Google Sans Text" w:hAnsi="Google Sans Text"/>
          <w:color w:val="444746"/>
          <w:sz w:val="24"/>
          <w:szCs w:val="24"/>
          <w:vertAlign w:val="superscript"/>
          <w:rtl w:val="0"/>
        </w:rPr>
        <w:t xml:space="preserve">12</w:t>
      </w:r>
      <w:r w:rsidDel="00000000" w:rsidR="00000000" w:rsidRPr="00000000">
        <w:rPr>
          <w:rFonts w:ascii="Google Sans Text" w:cs="Google Sans Text" w:eastAsia="Google Sans Text" w:hAnsi="Google Sans Text"/>
          <w:color w:val="1f1f1f"/>
          <w:rtl w:val="0"/>
        </w:rPr>
        <w:t xml:space="preserve"> This resurgence in manufacturing is not accidental; it is the direct, intended outcome of supply-side interventions, most notably the Production Linked Incentive (PLI) schemes. Across 14 critical sectors—including electronics, active pharmaceutical ingredients, and semiconductors—the PLI framework has attracted over ₹2.0 lakh crore in actual capital investment, effectively driving structural capability building and integrating India into sophisticated global value chains.</w:t>
      </w:r>
      <w:r w:rsidDel="00000000" w:rsidR="00000000" w:rsidRPr="00000000">
        <w:rPr>
          <w:rFonts w:ascii="Google Sans Text" w:cs="Google Sans Text" w:eastAsia="Google Sans Text" w:hAnsi="Google Sans Text"/>
          <w:color w:val="444746"/>
          <w:sz w:val="24"/>
          <w:szCs w:val="24"/>
          <w:vertAlign w:val="superscript"/>
          <w:rtl w:val="0"/>
        </w:rPr>
        <w:t xml:space="preserve">13</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w:t>
      </w:r>
      <w:r w:rsidDel="00000000" w:rsidR="00000000" w:rsidRPr="00000000">
        <w:rPr>
          <w:rFonts w:ascii="Google Sans Text" w:cs="Google Sans Text" w:eastAsia="Google Sans Text" w:hAnsi="Google Sans Text"/>
          <w:b w:val="1"/>
          <w:bCs w:val="1"/>
          <w:color w:val="1f1f1f"/>
          <w:rtl w:val="0"/>
        </w:rPr>
        <w:t xml:space="preserve">Agriculture sector</w:t>
      </w:r>
      <w:r w:rsidDel="00000000" w:rsidR="00000000" w:rsidRPr="00000000">
        <w:rPr>
          <w:rFonts w:ascii="Google Sans Text" w:cs="Google Sans Text" w:eastAsia="Google Sans Text" w:hAnsi="Google Sans Text"/>
          <w:color w:val="1f1f1f"/>
          <w:rtl w:val="0"/>
        </w:rPr>
        <w:t xml:space="preserve">, which still employs roughly 46.1 percent of the national workforce, is projected to grow at a stabilizing rate of 3.1 percent in FY26.</w:t>
      </w:r>
      <w:r w:rsidDel="00000000" w:rsidR="00000000" w:rsidRPr="00000000">
        <w:rPr>
          <w:rFonts w:ascii="Google Sans Text" w:cs="Google Sans Text" w:eastAsia="Google Sans Text" w:hAnsi="Google Sans Text"/>
          <w:color w:val="444746"/>
          <w:sz w:val="24"/>
          <w:szCs w:val="24"/>
          <w:vertAlign w:val="superscript"/>
          <w:rtl w:val="0"/>
        </w:rPr>
        <w:t xml:space="preserve">12</w:t>
      </w:r>
      <w:r w:rsidDel="00000000" w:rsidR="00000000" w:rsidRPr="00000000">
        <w:rPr>
          <w:rFonts w:ascii="Google Sans Text" w:cs="Google Sans Text" w:eastAsia="Google Sans Text" w:hAnsi="Google Sans Text"/>
          <w:color w:val="1f1f1f"/>
          <w:rtl w:val="0"/>
        </w:rPr>
        <w:t xml:space="preserve"> A profound internal transformation is underway within this sector. The traditional reliance on cyclical crop production is waning, replaced by structural diversification into allied activities. Livestock Gross Value Added expanded by nearly 195 percent over the last decade, while fisheries and aquaculture exhibited highly resilient growth rates of around 7 to 8 percent.</w:t>
      </w:r>
      <w:r w:rsidDel="00000000" w:rsidR="00000000" w:rsidRPr="00000000">
        <w:rPr>
          <w:rFonts w:ascii="Google Sans Text" w:cs="Google Sans Text" w:eastAsia="Google Sans Text" w:hAnsi="Google Sans Text"/>
          <w:color w:val="444746"/>
          <w:sz w:val="24"/>
          <w:szCs w:val="24"/>
          <w:vertAlign w:val="superscript"/>
          <w:rtl w:val="0"/>
        </w:rPr>
        <w:t xml:space="preserve">9</w:t>
      </w:r>
      <w:r w:rsidDel="00000000" w:rsidR="00000000" w:rsidRPr="00000000">
        <w:rPr>
          <w:rFonts w:ascii="Google Sans Text" w:cs="Google Sans Text" w:eastAsia="Google Sans Text" w:hAnsi="Google Sans Text"/>
          <w:color w:val="1f1f1f"/>
          <w:rtl w:val="0"/>
        </w:rPr>
        <w:t xml:space="preserve"> This pivot toward horticulture and allied activities acts as a vital shock absorber, protecting rural disposable incomes from the vagaries of volatile monsoon patterns and directly supporting the broader macroeconomic consumption base.</w:t>
      </w:r>
    </w:p>
    <w:p w:rsidR="00000000" w:rsidDel="00000000" w:rsidP="00000000" w:rsidRDefault="00000000" w:rsidRPr="00000000" w14:paraId="0000003B">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Revenue Generation and Taxation Architecture</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 sustainable fiscal policy relies fundamentally on tax buoyancy and a progressive revenue structure. The evolution of India's taxation metrics reveals a successful expansion of the formal economy and enhanced compliance driven by digital infrastructure.</w:t>
      </w:r>
    </w:p>
    <w:tbl>
      <w:tblPr>
        <w:tblStyle w:val="Table4"/>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Taxation Metric</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2024-25 (Actuals)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2025-26 (Revised Estimates)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2026-27 (Budget Estimates)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Gross Tax-to-GDP Ratio</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11.5%</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11.4%</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11.2%</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Direct vs. Indirect Tax Share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~58.8% Direct / 41.2% Indirect</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~59.5% Direct / 40.5% Indirect</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&gt;60.0% Direct / &lt;40.0% Indirect</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Top Revenue Generator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Income Tax</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Income Tax</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Income Tax (~33% of Gross Tax)</w:t>
            </w:r>
          </w:p>
        </w:tc>
      </w:tr>
    </w:tbl>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240" w:before="48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The Gross Tax-to-GDP ratio is conservatively budgeted at 11.2 percent for FY 2026-27.</w:t>
      </w:r>
      <w:r w:rsidDel="00000000" w:rsidR="00000000" w:rsidRPr="00000000">
        <w:rPr>
          <w:rFonts w:ascii="Google Sans Text" w:cs="Google Sans Text" w:eastAsia="Google Sans Text" w:hAnsi="Google Sans Text"/>
          <w:color w:val="444746"/>
          <w:sz w:val="24"/>
          <w:szCs w:val="24"/>
          <w:vertAlign w:val="superscript"/>
          <w:rtl w:val="0"/>
        </w:rPr>
        <w:t xml:space="preserve">7</w:t>
      </w:r>
      <w:r w:rsidDel="00000000" w:rsidR="00000000" w:rsidRPr="00000000">
        <w:rPr>
          <w:rFonts w:ascii="Google Sans Text" w:cs="Google Sans Text" w:eastAsia="Google Sans Text" w:hAnsi="Google Sans Text"/>
          <w:color w:val="1f1f1f"/>
          <w:rtl w:val="0"/>
        </w:rPr>
        <w:t xml:space="preserve"> This figure indicates that the structural formalization achieved post-pandemic remains intact, generating sufficient fiscal space for the government's ₹17.15 lakh crore effective capital expenditure mandate.</w:t>
      </w:r>
      <w:r w:rsidDel="00000000" w:rsidR="00000000" w:rsidRPr="00000000">
        <w:rPr>
          <w:rFonts w:ascii="Google Sans Text" w:cs="Google Sans Text" w:eastAsia="Google Sans Text" w:hAnsi="Google Sans Text"/>
          <w:color w:val="444746"/>
          <w:sz w:val="24"/>
          <w:szCs w:val="24"/>
          <w:vertAlign w:val="superscript"/>
          <w:rtl w:val="0"/>
        </w:rPr>
        <w:t xml:space="preserve">7</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Crucially, the composition of this tax revenue highlights a definitive shift toward direct taxation, which is theoretically far more progressive and equitable than indirect commodity taxes. Direct taxes are budgeted to grow by 11.4 percent year-over-year in FY27, pushing their share of Gross Tax Revenue well above the 60 percent threshold.</w:t>
      </w:r>
      <w:r w:rsidDel="00000000" w:rsidR="00000000" w:rsidRPr="00000000">
        <w:rPr>
          <w:rFonts w:ascii="Google Sans Text" w:cs="Google Sans Text" w:eastAsia="Google Sans Text" w:hAnsi="Google Sans Text"/>
          <w:color w:val="444746"/>
          <w:sz w:val="24"/>
          <w:szCs w:val="24"/>
          <w:vertAlign w:val="superscript"/>
          <w:rtl w:val="0"/>
        </w:rPr>
        <w:t xml:space="preserve">14</w:t>
      </w:r>
      <w:r w:rsidDel="00000000" w:rsidR="00000000" w:rsidRPr="00000000">
        <w:rPr>
          <w:rFonts w:ascii="Google Sans Text" w:cs="Google Sans Text" w:eastAsia="Google Sans Text" w:hAnsi="Google Sans Text"/>
          <w:color w:val="1f1f1f"/>
          <w:rtl w:val="0"/>
        </w:rPr>
        <w:t xml:space="preserve"> Within this direct tax base, </w:t>
      </w:r>
      <w:r w:rsidDel="00000000" w:rsidR="00000000" w:rsidRPr="00000000">
        <w:rPr>
          <w:rFonts w:ascii="Google Sans Text" w:cs="Google Sans Text" w:eastAsia="Google Sans Text" w:hAnsi="Google Sans Text"/>
          <w:b w:val="1"/>
          <w:bCs w:val="1"/>
          <w:color w:val="1f1f1f"/>
          <w:rtl w:val="0"/>
        </w:rPr>
        <w:t xml:space="preserve">Personal Income Tax</w:t>
      </w:r>
      <w:r w:rsidDel="00000000" w:rsidR="00000000" w:rsidRPr="00000000">
        <w:rPr>
          <w:rFonts w:ascii="Google Sans Text" w:cs="Google Sans Text" w:eastAsia="Google Sans Text" w:hAnsi="Google Sans Text"/>
          <w:color w:val="1f1f1f"/>
          <w:rtl w:val="0"/>
        </w:rPr>
        <w:t xml:space="preserve"> has firmly established itself as the single largest revenue generator, outstripping both Corporate Tax and the Goods and Services Tax (GST). In the FY27 budget estimates, Income Tax contributes approximately 33 percent of total tax revenues, Corporate Tax accounts for roughly 28 percent, and GST comprises approximately 23 percent.</w:t>
      </w:r>
      <w:r w:rsidDel="00000000" w:rsidR="00000000" w:rsidRPr="00000000">
        <w:rPr>
          <w:rFonts w:ascii="Google Sans Text" w:cs="Google Sans Text" w:eastAsia="Google Sans Text" w:hAnsi="Google Sans Text"/>
          <w:color w:val="444746"/>
          <w:sz w:val="24"/>
          <w:szCs w:val="24"/>
          <w:vertAlign w:val="superscript"/>
          <w:rtl w:val="0"/>
        </w:rPr>
        <w:t xml:space="preserve">14</w:t>
      </w:r>
      <w:r w:rsidDel="00000000" w:rsidR="00000000" w:rsidRPr="00000000">
        <w:rPr>
          <w:rFonts w:ascii="Google Sans Text" w:cs="Google Sans Text" w:eastAsia="Google Sans Text" w:hAnsi="Google Sans Text"/>
          <w:color w:val="1f1f1f"/>
          <w:rtl w:val="0"/>
        </w:rPr>
        <w:t xml:space="preserve"> The continued dominance of personal income tax reflects improved compliance networks, the widening of the taxpayer base, and the rationalization of tax slabs, proving that lower marginal rates can paradoxically generate higher absolute revenues through enhanced voluntary compliance.</w:t>
      </w:r>
    </w:p>
    <w:p w:rsidR="00000000" w:rsidDel="00000000" w:rsidP="00000000" w:rsidRDefault="00000000" w:rsidRPr="00000000" w14:paraId="0000004F">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Resource 2: 1991 Reforms &amp; Policy Timeline</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To contextualize India's modern macroeconomic resilience, it is imperative to analyze the genesis of its liberalization. Prior to 1991, India operated under an inward-looking, heavily regulated, and protectionist regime. The state controlled the commanding heights of the economy, imposing draconian industrial licensing, quantitative restrictions on imports, and exorbitant marginal tax rates. This system structurally suppressed potential output, disincentivized private capital formation, and culminated in a catastrophic macroeconomic failure.</w:t>
      </w:r>
    </w:p>
    <w:p w:rsidR="00000000" w:rsidDel="00000000" w:rsidP="00000000" w:rsidRDefault="00000000" w:rsidRPr="00000000" w14:paraId="00000051">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Immediate Triggers: The Balance of Payments (BoP) Crisis</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The proximate cause of the 1991 structural realignment was an acute Balance of Payments and liquidity crisis, driven by a confluence of deep-seated internal imbalances and sudden external shocks. Throughout the late 1980s, the Indian government engaged in profound fiscal profligacy, funding consumption expenditures through monetized deficits and external commercial borrowings. This resulted in a classic "twin deficit" scenario: a bloated gross fiscal deficit exceeding 8.4 percent of GDP and an unsustainable current account deficit.</w:t>
      </w:r>
      <w:r w:rsidDel="00000000" w:rsidR="00000000" w:rsidRPr="00000000">
        <w:rPr>
          <w:rFonts w:ascii="Google Sans Text" w:cs="Google Sans Text" w:eastAsia="Google Sans Text" w:hAnsi="Google Sans Text"/>
          <w:color w:val="444746"/>
          <w:sz w:val="24"/>
          <w:szCs w:val="24"/>
          <w:vertAlign w:val="superscript"/>
          <w:rtl w:val="0"/>
        </w:rPr>
        <w:t xml:space="preserve">15</w:t>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In 1990, the fragile external equilibrium was shattered. The geopolitical collapse of the Soviet Union eliminated a crucial trading partner that had historically engaged with India through bilateral rupee-rouble clearing arrangements, decimating export volumes.</w:t>
      </w:r>
      <w:r w:rsidDel="00000000" w:rsidR="00000000" w:rsidRPr="00000000">
        <w:rPr>
          <w:rFonts w:ascii="Google Sans Text" w:cs="Google Sans Text" w:eastAsia="Google Sans Text" w:hAnsi="Google Sans Text"/>
          <w:color w:val="444746"/>
          <w:sz w:val="24"/>
          <w:szCs w:val="24"/>
          <w:vertAlign w:val="superscript"/>
          <w:rtl w:val="0"/>
        </w:rPr>
        <w:t xml:space="preserve">16</w:t>
      </w:r>
      <w:r w:rsidDel="00000000" w:rsidR="00000000" w:rsidRPr="00000000">
        <w:rPr>
          <w:rFonts w:ascii="Google Sans Text" w:cs="Google Sans Text" w:eastAsia="Google Sans Text" w:hAnsi="Google Sans Text"/>
          <w:color w:val="1f1f1f"/>
          <w:rtl w:val="0"/>
        </w:rPr>
        <w:t xml:space="preserve"> Concurrently, the outbreak of the Gulf War in August 1990 triggered a massive spike in global crude oil prices, geometrically inflating India's import bill. Furthermore, the conflict halted the vital flow of remittances from Indian expatriates employed in the Middle East.</w:t>
      </w:r>
      <w:r w:rsidDel="00000000" w:rsidR="00000000" w:rsidRPr="00000000">
        <w:rPr>
          <w:rFonts w:ascii="Google Sans Text" w:cs="Google Sans Text" w:eastAsia="Google Sans Text" w:hAnsi="Google Sans Text"/>
          <w:color w:val="444746"/>
          <w:sz w:val="24"/>
          <w:szCs w:val="24"/>
          <w:vertAlign w:val="superscript"/>
          <w:rtl w:val="0"/>
        </w:rPr>
        <w:t xml:space="preserve">16</w:t>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By mid-1991, the situation became untenable. Foreign exchange reserves plummeted to a precarious $1 billion—barely sufficient to finance two to three weeks of essential imports like petroleum and fertilizers.</w:t>
      </w:r>
      <w:r w:rsidDel="00000000" w:rsidR="00000000" w:rsidRPr="00000000">
        <w:rPr>
          <w:rFonts w:ascii="Google Sans Text" w:cs="Google Sans Text" w:eastAsia="Google Sans Text" w:hAnsi="Google Sans Text"/>
          <w:color w:val="444746"/>
          <w:sz w:val="24"/>
          <w:szCs w:val="24"/>
          <w:vertAlign w:val="superscript"/>
          <w:rtl w:val="0"/>
        </w:rPr>
        <w:t xml:space="preserve">17</w:t>
      </w:r>
      <w:r w:rsidDel="00000000" w:rsidR="00000000" w:rsidRPr="00000000">
        <w:rPr>
          <w:rFonts w:ascii="Google Sans Text" w:cs="Google Sans Text" w:eastAsia="Google Sans Text" w:hAnsi="Google Sans Text"/>
          <w:color w:val="1f1f1f"/>
          <w:rtl w:val="0"/>
        </w:rPr>
        <w:t xml:space="preserve"> International credit rating agencies, notably Moody's, downgraded India's sovereign debt, severely curtailing access to international capital markets.</w:t>
      </w:r>
      <w:r w:rsidDel="00000000" w:rsidR="00000000" w:rsidRPr="00000000">
        <w:rPr>
          <w:rFonts w:ascii="Google Sans Text" w:cs="Google Sans Text" w:eastAsia="Google Sans Text" w:hAnsi="Google Sans Text"/>
          <w:color w:val="444746"/>
          <w:sz w:val="24"/>
          <w:szCs w:val="24"/>
          <w:vertAlign w:val="superscript"/>
          <w:rtl w:val="0"/>
        </w:rPr>
        <w:t xml:space="preserve">16</w:t>
      </w:r>
      <w:r w:rsidDel="00000000" w:rsidR="00000000" w:rsidRPr="00000000">
        <w:rPr>
          <w:rFonts w:ascii="Google Sans Text" w:cs="Google Sans Text" w:eastAsia="Google Sans Text" w:hAnsi="Google Sans Text"/>
          <w:color w:val="1f1f1f"/>
          <w:rtl w:val="0"/>
        </w:rPr>
        <w:t xml:space="preserve"> Facing the unprecedented and humiliating prospect of a sovereign default, the government was compelled to airlift national gold reserves to the Bank of England to secure emergency bridge financing from the International Monetary Fund (IMF).</w:t>
      </w:r>
      <w:r w:rsidDel="00000000" w:rsidR="00000000" w:rsidRPr="00000000">
        <w:rPr>
          <w:rFonts w:ascii="Google Sans Text" w:cs="Google Sans Text" w:eastAsia="Google Sans Text" w:hAnsi="Google Sans Text"/>
          <w:color w:val="444746"/>
          <w:sz w:val="24"/>
          <w:szCs w:val="24"/>
          <w:vertAlign w:val="superscript"/>
          <w:rtl w:val="0"/>
        </w:rPr>
        <w:t xml:space="preserve">18</w:t>
      </w:r>
      <w:r w:rsidDel="00000000" w:rsidR="00000000" w:rsidRPr="00000000">
        <w:rPr>
          <w:rFonts w:ascii="Google Sans Text" w:cs="Google Sans Text" w:eastAsia="Google Sans Text" w:hAnsi="Google Sans Text"/>
          <w:color w:val="1f1f1f"/>
          <w:rtl w:val="0"/>
        </w:rPr>
        <w:t xml:space="preserve"> This existential crisis broke the political gridlock, allowing then-Finance Minister Manmohan Singh to introduce the landmark July 1991 budget that formally initiated the era of Liberalization, Privatization, and Globalization (LPG).</w:t>
      </w:r>
    </w:p>
    <w:p w:rsidR="00000000" w:rsidDel="00000000" w:rsidP="00000000" w:rsidRDefault="00000000" w:rsidRPr="00000000" w14:paraId="00000055">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Intellectual Architects: Key Reform Committees</w:t>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structural dismantling of the command economy required highly technical blueprints. The government established specialized expert committees to diagnose systemic failures and propose immediate, radical remedies. The two most consequential panels were the Narasimham Committee and the Raja Chelliah Committee.</w:t>
      </w:r>
    </w:p>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b w:val="1"/>
          <w:bCs w:val="1"/>
          <w:color w:val="1f1f1f"/>
          <w:rtl w:val="0"/>
        </w:rPr>
        <w:t xml:space="preserve">The Narasimham Committee on Banking Sector Reforms (1991)</w:t>
      </w:r>
      <w:r w:rsidDel="00000000" w:rsidR="00000000" w:rsidRPr="00000000">
        <w:rPr>
          <w:rFonts w:ascii="Google Sans Text" w:cs="Google Sans Text" w:eastAsia="Google Sans Text" w:hAnsi="Google Sans Text"/>
          <w:color w:val="1f1f1f"/>
          <w:rtl w:val="0"/>
        </w:rPr>
        <w:t xml:space="preserve"> Prior to these reforms, the heavily nationalized banking sector functioned essentially as a captive financier for the government. Through artificially high Statutory Liquidity Ratios (SLR) and Cash Reserve Ratios (CRR), the state pre-empted the vast majority of bank deposits, starving the private commercial sector of credit and rendering banks unprofitable. The Narasimham Committee introduced revolutionary recommendations to restore banking autonomy and efficiency.</w:t>
      </w:r>
      <w:r w:rsidDel="00000000" w:rsidR="00000000" w:rsidRPr="00000000">
        <w:rPr>
          <w:rFonts w:ascii="Google Sans Text" w:cs="Google Sans Text" w:eastAsia="Google Sans Text" w:hAnsi="Google Sans Text"/>
          <w:color w:val="444746"/>
          <w:sz w:val="24"/>
          <w:szCs w:val="24"/>
          <w:vertAlign w:val="superscript"/>
          <w:rtl w:val="0"/>
        </w:rPr>
        <w:t xml:space="preserve">18</w:t>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The primary directives included a phased and massive reduction in both the SLR and CRR, directly augmenting the pool of lendable resources for private enterprise.</w:t>
      </w:r>
      <w:r w:rsidDel="00000000" w:rsidR="00000000" w:rsidRPr="00000000">
        <w:rPr>
          <w:rFonts w:ascii="Google Sans Text" w:cs="Google Sans Text" w:eastAsia="Google Sans Text" w:hAnsi="Google Sans Text"/>
          <w:color w:val="444746"/>
          <w:sz w:val="24"/>
          <w:szCs w:val="24"/>
          <w:vertAlign w:val="superscript"/>
          <w:rtl w:val="0"/>
        </w:rPr>
        <w:t xml:space="preserve">15</w:t>
      </w:r>
      <w:r w:rsidDel="00000000" w:rsidR="00000000" w:rsidRPr="00000000">
        <w:rPr>
          <w:rFonts w:ascii="Google Sans Text" w:cs="Google Sans Text" w:eastAsia="Google Sans Text" w:hAnsi="Google Sans Text"/>
          <w:color w:val="1f1f1f"/>
          <w:rtl w:val="0"/>
        </w:rPr>
        <w:t xml:space="preserve"> The committee mandated the deregulation of interest rates, transferring the power of capital pricing from bureaucratic diktat to market forces.</w:t>
      </w:r>
      <w:r w:rsidDel="00000000" w:rsidR="00000000" w:rsidRPr="00000000">
        <w:rPr>
          <w:rFonts w:ascii="Google Sans Text" w:cs="Google Sans Text" w:eastAsia="Google Sans Text" w:hAnsi="Google Sans Text"/>
          <w:color w:val="444746"/>
          <w:sz w:val="24"/>
          <w:szCs w:val="24"/>
          <w:vertAlign w:val="superscript"/>
          <w:rtl w:val="0"/>
        </w:rPr>
        <w:t xml:space="preserve">19</w:t>
      </w:r>
      <w:r w:rsidDel="00000000" w:rsidR="00000000" w:rsidRPr="00000000">
        <w:rPr>
          <w:rFonts w:ascii="Google Sans Text" w:cs="Google Sans Text" w:eastAsia="Google Sans Text" w:hAnsi="Google Sans Text"/>
          <w:color w:val="1f1f1f"/>
          <w:rtl w:val="0"/>
        </w:rPr>
        <w:t xml:space="preserve"> To address the paralyzing burden of Non-Performing Assets (NPAs), the committee introduced stringent, internationally aligned prudential norms for income recognition, asset classification, and Capital Adequacy Ratios (CAR).</w:t>
      </w:r>
      <w:r w:rsidDel="00000000" w:rsidR="00000000" w:rsidRPr="00000000">
        <w:rPr>
          <w:rFonts w:ascii="Google Sans Text" w:cs="Google Sans Text" w:eastAsia="Google Sans Text" w:hAnsi="Google Sans Text"/>
          <w:color w:val="444746"/>
          <w:sz w:val="24"/>
          <w:szCs w:val="24"/>
          <w:vertAlign w:val="superscript"/>
          <w:rtl w:val="0"/>
        </w:rPr>
        <w:t xml:space="preserve">19</w:t>
      </w:r>
      <w:r w:rsidDel="00000000" w:rsidR="00000000" w:rsidRPr="00000000">
        <w:rPr>
          <w:rFonts w:ascii="Google Sans Text" w:cs="Google Sans Text" w:eastAsia="Google Sans Text" w:hAnsi="Google Sans Text"/>
          <w:color w:val="1f1f1f"/>
          <w:rtl w:val="0"/>
        </w:rPr>
        <w:t xml:space="preserve"> It also laid the intellectual groundwork for Asset Reconstruction Funds (ARFs) and specialized debt recovery tribunals to isolate and liquidate toxic loans.</w:t>
      </w:r>
      <w:r w:rsidDel="00000000" w:rsidR="00000000" w:rsidRPr="00000000">
        <w:rPr>
          <w:rFonts w:ascii="Google Sans Text" w:cs="Google Sans Text" w:eastAsia="Google Sans Text" w:hAnsi="Google Sans Text"/>
          <w:color w:val="444746"/>
          <w:sz w:val="24"/>
          <w:szCs w:val="24"/>
          <w:vertAlign w:val="superscript"/>
          <w:rtl w:val="0"/>
        </w:rPr>
        <w:t xml:space="preserve">19</w:t>
      </w:r>
      <w:r w:rsidDel="00000000" w:rsidR="00000000" w:rsidRPr="00000000">
        <w:rPr>
          <w:rFonts w:ascii="Google Sans Text" w:cs="Google Sans Text" w:eastAsia="Google Sans Text" w:hAnsi="Google Sans Text"/>
          <w:color w:val="1f1f1f"/>
          <w:rtl w:val="0"/>
        </w:rPr>
        <w:t xml:space="preserve"> Furthermore, the committee fundamentally altered the competitive landscape by recommending the dilution of state equity in public banks and paving the way for the entry of foreign and new-generation private sector banks, forcing incumbent institutions to modernize.</w:t>
      </w:r>
      <w:r w:rsidDel="00000000" w:rsidR="00000000" w:rsidRPr="00000000">
        <w:rPr>
          <w:rFonts w:ascii="Google Sans Text" w:cs="Google Sans Text" w:eastAsia="Google Sans Text" w:hAnsi="Google Sans Text"/>
          <w:color w:val="444746"/>
          <w:sz w:val="24"/>
          <w:szCs w:val="24"/>
          <w:vertAlign w:val="superscript"/>
          <w:rtl w:val="0"/>
        </w:rPr>
        <w:t xml:space="preserve">19</w:t>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b w:val="1"/>
          <w:bCs w:val="1"/>
          <w:color w:val="1f1f1f"/>
          <w:rtl w:val="0"/>
        </w:rPr>
        <w:t xml:space="preserve">The Raja Chelliah Tax Reforms Committee (1991-1993)</w:t>
      </w:r>
      <w:r w:rsidDel="00000000" w:rsidR="00000000" w:rsidRPr="00000000">
        <w:rPr>
          <w:rFonts w:ascii="Google Sans Text" w:cs="Google Sans Text" w:eastAsia="Google Sans Text" w:hAnsi="Google Sans Text"/>
          <w:color w:val="1f1f1f"/>
          <w:rtl w:val="0"/>
        </w:rPr>
        <w:t xml:space="preserve"> Simultaneously, the taxation architecture required an absolute overhaul. The existing system was characterized by punitive marginal income tax rates and customs duties that frequently exceeded 300 percent, a structure that explicitly incentivized tax evasion, smuggling, and corruption. Dr. Raja J. Chelliah, widely recognized as the father of modern Indian tax reform, chaired the committee tasked with rationalizing this labyrinth.</w:t>
      </w:r>
      <w:r w:rsidDel="00000000" w:rsidR="00000000" w:rsidRPr="00000000">
        <w:rPr>
          <w:rFonts w:ascii="Google Sans Text" w:cs="Google Sans Text" w:eastAsia="Google Sans Text" w:hAnsi="Google Sans Text"/>
          <w:color w:val="444746"/>
          <w:sz w:val="24"/>
          <w:szCs w:val="24"/>
          <w:vertAlign w:val="superscript"/>
          <w:rtl w:val="0"/>
        </w:rPr>
        <w:t xml:space="preserve">21</w:t>
      </w:r>
    </w:p>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The Chelliah Committee's foundational philosophy was that a moderate-rate tax regime, applied across a broader base, would inherently induce higher voluntary compliance and yield greater absolute revenues.</w:t>
      </w:r>
      <w:r w:rsidDel="00000000" w:rsidR="00000000" w:rsidRPr="00000000">
        <w:rPr>
          <w:rFonts w:ascii="Google Sans Text" w:cs="Google Sans Text" w:eastAsia="Google Sans Text" w:hAnsi="Google Sans Text"/>
          <w:color w:val="444746"/>
          <w:sz w:val="24"/>
          <w:szCs w:val="24"/>
          <w:vertAlign w:val="superscript"/>
          <w:rtl w:val="0"/>
        </w:rPr>
        <w:t xml:space="preserve">22</w:t>
      </w:r>
      <w:r w:rsidDel="00000000" w:rsidR="00000000" w:rsidRPr="00000000">
        <w:rPr>
          <w:rFonts w:ascii="Google Sans Text" w:cs="Google Sans Text" w:eastAsia="Google Sans Text" w:hAnsi="Google Sans Text"/>
          <w:color w:val="1f1f1f"/>
          <w:rtl w:val="0"/>
        </w:rPr>
        <w:t xml:space="preserve"> The committee successfully recommended the drastic reduction of peak marginal rates for both corporate and personal income taxes.</w:t>
      </w:r>
      <w:r w:rsidDel="00000000" w:rsidR="00000000" w:rsidRPr="00000000">
        <w:rPr>
          <w:rFonts w:ascii="Google Sans Text" w:cs="Google Sans Text" w:eastAsia="Google Sans Text" w:hAnsi="Google Sans Text"/>
          <w:color w:val="444746"/>
          <w:sz w:val="24"/>
          <w:szCs w:val="24"/>
          <w:vertAlign w:val="superscript"/>
          <w:rtl w:val="0"/>
        </w:rPr>
        <w:t xml:space="preserve">23</w:t>
      </w:r>
      <w:r w:rsidDel="00000000" w:rsidR="00000000" w:rsidRPr="00000000">
        <w:rPr>
          <w:rFonts w:ascii="Google Sans Text" w:cs="Google Sans Text" w:eastAsia="Google Sans Text" w:hAnsi="Google Sans Text"/>
          <w:color w:val="1f1f1f"/>
          <w:rtl w:val="0"/>
        </w:rPr>
        <w:t xml:space="preserve"> On the indirect tax front, it mandated a severe rationalization of customs tariffs to integrate Indian manufacturing with global supply chains.</w:t>
      </w:r>
      <w:r w:rsidDel="00000000" w:rsidR="00000000" w:rsidRPr="00000000">
        <w:rPr>
          <w:rFonts w:ascii="Google Sans Text" w:cs="Google Sans Text" w:eastAsia="Google Sans Text" w:hAnsi="Google Sans Text"/>
          <w:color w:val="444746"/>
          <w:sz w:val="24"/>
          <w:szCs w:val="24"/>
          <w:vertAlign w:val="superscript"/>
          <w:rtl w:val="0"/>
        </w:rPr>
        <w:t xml:space="preserve">23</w:t>
      </w:r>
      <w:r w:rsidDel="00000000" w:rsidR="00000000" w:rsidRPr="00000000">
        <w:rPr>
          <w:rFonts w:ascii="Google Sans Text" w:cs="Google Sans Text" w:eastAsia="Google Sans Text" w:hAnsi="Google Sans Text"/>
          <w:color w:val="1f1f1f"/>
          <w:rtl w:val="0"/>
        </w:rPr>
        <w:t xml:space="preserve"> Crucially, the committee conceptualized the transformation of domestic excise duties into a comprehensive Value Added Tax (VAT) system, specifically advocating for the expansion of the MODVAT (Modified Value Added Tax) framework to eliminate the economically destructive cascading effect of "tax on tax".</w:t>
      </w:r>
      <w:r w:rsidDel="00000000" w:rsidR="00000000" w:rsidRPr="00000000">
        <w:rPr>
          <w:rFonts w:ascii="Google Sans Text" w:cs="Google Sans Text" w:eastAsia="Google Sans Text" w:hAnsi="Google Sans Text"/>
          <w:color w:val="444746"/>
          <w:sz w:val="24"/>
          <w:szCs w:val="24"/>
          <w:vertAlign w:val="superscript"/>
          <w:rtl w:val="0"/>
        </w:rPr>
        <w:t xml:space="preserve">23</w:t>
      </w:r>
    </w:p>
    <w:p w:rsidR="00000000" w:rsidDel="00000000" w:rsidP="00000000" w:rsidRDefault="00000000" w:rsidRPr="00000000" w14:paraId="0000005B">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Structural Continuum: Post-1991 Policy Frameworks</w:t>
      </w:r>
    </w:p>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intellectual momentum generated by the 1991 crisis established a bipartisan consensus on macroeconomic stability, resulting in several landmark legislative frameworks over the subsequent decades.</w:t>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color w:val="1f1f1f"/>
          <w:rtl w:val="0"/>
        </w:rPr>
        <w:t xml:space="preserve">1. The Fiscal Responsibility and Budget Management (FRBM) Act (2003)</w:t>
      </w:r>
      <w:r w:rsidDel="00000000" w:rsidR="00000000" w:rsidRPr="00000000">
        <w:rPr>
          <w:rFonts w:ascii="Google Sans Text" w:cs="Google Sans Text" w:eastAsia="Google Sans Text" w:hAnsi="Google Sans Text"/>
          <w:color w:val="1f1f1f"/>
          <w:rtl w:val="0"/>
        </w:rPr>
        <w:t xml:space="preserve"> Recognizing that the root cause of the 1991 crisis was unchecked fiscal profligacy, the FRBM Act was enacted to legally institutionalize financial discipline. The Act mandated a statutory glide path for the government to systematically reduce the gross fiscal deficit to 3 percent of GDP and to completely eliminate the revenue deficit.</w:t>
      </w:r>
      <w:r w:rsidDel="00000000" w:rsidR="00000000" w:rsidRPr="00000000">
        <w:rPr>
          <w:rFonts w:ascii="Google Sans Text" w:cs="Google Sans Text" w:eastAsia="Google Sans Text" w:hAnsi="Google Sans Text"/>
          <w:color w:val="444746"/>
          <w:sz w:val="24"/>
          <w:szCs w:val="24"/>
          <w:vertAlign w:val="superscript"/>
          <w:rtl w:val="0"/>
        </w:rPr>
        <w:t xml:space="preserve">24</w:t>
      </w:r>
      <w:r w:rsidDel="00000000" w:rsidR="00000000" w:rsidRPr="00000000">
        <w:rPr>
          <w:rFonts w:ascii="Google Sans Text" w:cs="Google Sans Text" w:eastAsia="Google Sans Text" w:hAnsi="Google Sans Text"/>
          <w:color w:val="1f1f1f"/>
          <w:rtl w:val="0"/>
        </w:rPr>
        <w:t xml:space="preserve"> By prohibiting the Reserve Bank of India from participating in the primary issuance of government securities (effectively ending the automatic monetization of deficits), the FRBM Act fundamentally altered the sovereign borrowing culture, forcing the government to compete for capital in the open market and thereby anchoring inflation expectations.</w:t>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2. The Insolvency and Bankruptcy Code (IBC) (2016)</w:t>
      </w:r>
    </w:p>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For decades post-liberalization, the Indian financial system suffered from a "twin balance sheet problem"—over-leveraged corporate entities holding massive debts, and public sector banks paralyzed by the corresponding Non-Performing Assets. Prior legal mechanisms for debt recovery were highly fragmented, allowing defaulting promoters to retain control of assets while stalling liquidation indefinitely. The IBC of 2016 revolutionized this dynamic by consolidating disparate bankruptcy laws into a single, unified, and strictly time-bound process. Most importantly, it shifted the balance of power decisively from the debtor to the creditors, ensuring that commercially unviable entities were swiftly liquidated or reorganized, thereby freeing up trapped capital and cleansing bank balance sheets.</w:t>
      </w:r>
    </w:p>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b w:val="1"/>
          <w:bCs w:val="1"/>
          <w:color w:val="1f1f1f"/>
          <w:rtl w:val="0"/>
        </w:rPr>
        <w:t xml:space="preserve">3. The Goods and Services Tax (GST) Implementation (2017)</w:t>
      </w:r>
      <w:r w:rsidDel="00000000" w:rsidR="00000000" w:rsidRPr="00000000">
        <w:rPr>
          <w:rFonts w:ascii="Google Sans Text" w:cs="Google Sans Text" w:eastAsia="Google Sans Text" w:hAnsi="Google Sans Text"/>
          <w:color w:val="1f1f1f"/>
          <w:rtl w:val="0"/>
        </w:rPr>
        <w:t xml:space="preserve"> Representing the ultimate culmination of the indirect tax reforms envisioned by the Chelliah Committee, the implementation of the GST in July 2017 was India's most profound structural reform since 1991. The GST subsumed a chaotic, highly fragmented web of state and central levies—including excise duties, service taxes, and state-level VATs—into a unified, destination-based consumption tax. By eliminating internal state border checkpoints (octroi) and the cascading effect of multiple taxes, the GST transformed India into a single, seamless common market. Furthermore, the entirely digital compliance infrastructure of the GST network has forced millions of informal enterprises into the formalized tax net, significantly enhancing indirect tax buoyancy and providing a wealth of high-frequency data for macroeconomic monitoring.</w:t>
      </w:r>
      <w:r w:rsidDel="00000000" w:rsidR="00000000" w:rsidRPr="00000000">
        <w:rPr>
          <w:rFonts w:ascii="Google Sans Text" w:cs="Google Sans Text" w:eastAsia="Google Sans Text" w:hAnsi="Google Sans Text"/>
          <w:color w:val="444746"/>
          <w:sz w:val="24"/>
          <w:szCs w:val="24"/>
          <w:vertAlign w:val="superscript"/>
          <w:rtl w:val="0"/>
        </w:rPr>
        <w:t xml:space="preserve">26</w:t>
      </w:r>
    </w:p>
    <w:p w:rsidR="00000000" w:rsidDel="00000000" w:rsidP="00000000" w:rsidRDefault="00000000" w:rsidRPr="00000000" w14:paraId="00000061">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Resource 3: Production &amp; Trade Statistics</w:t>
      </w:r>
    </w:p>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To fully contextualize India's macroeconomic standing, fiscal and monetary metrics must be corroborated by physical output and international trade integration. The latest empirical data highlights an agricultural sector achieving unprecedented scale and an export matrix increasingly reliant on high-value industrial and technological output.</w:t>
      </w:r>
    </w:p>
    <w:p w:rsidR="00000000" w:rsidDel="00000000" w:rsidP="00000000" w:rsidRDefault="00000000" w:rsidRPr="00000000" w14:paraId="00000063">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Agricultural Production Profile and Food Security</w:t>
      </w:r>
    </w:p>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absolute volume of domestic foodgrain production is the primary bulwark against imported inflation and is foundational to national food security. Over the past decade, driven by expanded irrigation via the PMKSY, optimal monsoon distribution, and robust Minimum Support Price (MSP) procurement assurances, agricultural output has experienced a paradigm shift.</w:t>
      </w:r>
    </w:p>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For the agricultural year 2024-25, India achieved a historic, record-breaking </w:t>
      </w:r>
      <w:r w:rsidDel="00000000" w:rsidR="00000000" w:rsidRPr="00000000">
        <w:rPr>
          <w:rFonts w:ascii="Google Sans Text" w:cs="Google Sans Text" w:eastAsia="Google Sans Text" w:hAnsi="Google Sans Text"/>
          <w:b w:val="1"/>
          <w:bCs w:val="1"/>
          <w:color w:val="1f1f1f"/>
          <w:rtl w:val="0"/>
        </w:rPr>
        <w:t xml:space="preserve">Total Foodgrain Production of 357.73 million tonnes</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27</w:t>
      </w:r>
      <w:r w:rsidDel="00000000" w:rsidR="00000000" w:rsidRPr="00000000">
        <w:rPr>
          <w:rFonts w:ascii="Google Sans Text" w:cs="Google Sans Text" w:eastAsia="Google Sans Text" w:hAnsi="Google Sans Text"/>
          <w:color w:val="1f1f1f"/>
          <w:rtl w:val="0"/>
        </w:rPr>
        <w:t xml:space="preserve"> This staggering figure represents an absolute increase of over 106 million tonnes compared to the base year of 2015-16, growing sequentially by roughly 7.6 to 8 percent over the 332.29 million tonnes recorded in 2023-24.</w:t>
      </w:r>
      <w:r w:rsidDel="00000000" w:rsidR="00000000" w:rsidRPr="00000000">
        <w:rPr>
          <w:rFonts w:ascii="Google Sans Text" w:cs="Google Sans Text" w:eastAsia="Google Sans Text" w:hAnsi="Google Sans Text"/>
          <w:color w:val="444746"/>
          <w:sz w:val="24"/>
          <w:szCs w:val="24"/>
          <w:vertAlign w:val="superscript"/>
          <w:rtl w:val="0"/>
        </w:rPr>
        <w:t xml:space="preserve">27</w:t>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composition of this record harvest is dominated by the following top three crops by production volume:</w:t>
      </w:r>
    </w:p>
    <w:p w:rsidR="00000000" w:rsidDel="00000000" w:rsidP="00000000" w:rsidRDefault="00000000" w:rsidRPr="00000000" w14:paraId="00000067">
      <w:pPr>
        <w:numPr>
          <w:ilvl w:val="0"/>
          <w:numId w:val="1"/>
        </w:numPr>
        <w:pBdr>
          <w:top w:space="0" w:sz="0" w:val="nil"/>
          <w:left w:space="0" w:sz="0" w:val="nil"/>
          <w:bottom w:space="0" w:sz="0" w:val="nil"/>
          <w:right w:space="0" w:sz="0" w:val="nil"/>
          <w:between w:space="0" w:sz="0" w:val="nil"/>
        </w:pBdr>
        <w:shd w:fill="auto" w:val="clear"/>
        <w:spacing w:after="0" w:after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Rice:</w:t>
      </w:r>
      <w:r w:rsidDel="00000000" w:rsidR="00000000" w:rsidRPr="00000000">
        <w:rPr>
          <w:rFonts w:ascii="Google Sans Text" w:cs="Google Sans Text" w:eastAsia="Google Sans Text" w:hAnsi="Google Sans Text"/>
          <w:color w:val="1f1f1f"/>
          <w:rtl w:val="0"/>
        </w:rPr>
        <w:t xml:space="preserve"> The cornerstone of the Kharif season, rice production surged to an all-time high of </w:t>
      </w:r>
      <w:r w:rsidDel="00000000" w:rsidR="00000000" w:rsidRPr="00000000">
        <w:rPr>
          <w:rFonts w:ascii="Google Sans Text" w:cs="Google Sans Text" w:eastAsia="Google Sans Text" w:hAnsi="Google Sans Text"/>
          <w:b w:val="1"/>
          <w:bCs w:val="1"/>
          <w:color w:val="1f1f1f"/>
          <w:rtl w:val="0"/>
        </w:rPr>
        <w:t xml:space="preserve">150.18 million tonnes</w:t>
      </w:r>
      <w:r w:rsidDel="00000000" w:rsidR="00000000" w:rsidRPr="00000000">
        <w:rPr>
          <w:rFonts w:ascii="Google Sans Text" w:cs="Google Sans Text" w:eastAsia="Google Sans Text" w:hAnsi="Google Sans Text"/>
          <w:color w:val="1f1f1f"/>
          <w:rtl w:val="0"/>
        </w:rPr>
        <w:t xml:space="preserve">, expanding by over 12 million tonnes year-on-year.</w:t>
      </w:r>
      <w:r w:rsidDel="00000000" w:rsidR="00000000" w:rsidRPr="00000000">
        <w:rPr>
          <w:rFonts w:ascii="Google Sans Text" w:cs="Google Sans Text" w:eastAsia="Google Sans Text" w:hAnsi="Google Sans Text"/>
          <w:color w:val="444746"/>
          <w:sz w:val="24"/>
          <w:szCs w:val="24"/>
          <w:vertAlign w:val="superscript"/>
          <w:rtl w:val="0"/>
        </w:rPr>
        <w:t xml:space="preserve">27</w:t>
      </w:r>
      <w:r w:rsidDel="00000000" w:rsidR="00000000" w:rsidRPr="00000000">
        <w:rPr>
          <w:rFonts w:ascii="Google Sans Text" w:cs="Google Sans Text" w:eastAsia="Google Sans Text" w:hAnsi="Google Sans Text"/>
          <w:color w:val="1f1f1f"/>
          <w:rtl w:val="0"/>
        </w:rPr>
        <w:t xml:space="preserve"> This surplus not only secures domestic buffer requirements but also maintains India's strategic leverage in global cereal export markets.</w:t>
      </w:r>
      <w:r w:rsidDel="00000000" w:rsidR="00000000" w:rsidRPr="00000000">
        <w:rPr>
          <w:rFonts w:ascii="Google Sans Text" w:cs="Google Sans Text" w:eastAsia="Google Sans Text" w:hAnsi="Google Sans Text"/>
          <w:color w:val="444746"/>
          <w:sz w:val="24"/>
          <w:szCs w:val="24"/>
          <w:vertAlign w:val="superscript"/>
          <w:rtl w:val="0"/>
        </w:rPr>
        <w:t xml:space="preserve">29</w:t>
      </w:r>
    </w:p>
    <w:p w:rsidR="00000000" w:rsidDel="00000000" w:rsidP="00000000" w:rsidRDefault="00000000" w:rsidRPr="00000000" w14:paraId="00000068">
      <w:pPr>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Wheat:</w:t>
      </w:r>
      <w:r w:rsidDel="00000000" w:rsidR="00000000" w:rsidRPr="00000000">
        <w:rPr>
          <w:rFonts w:ascii="Google Sans Text" w:cs="Google Sans Text" w:eastAsia="Google Sans Text" w:hAnsi="Google Sans Text"/>
          <w:color w:val="1f1f1f"/>
          <w:rtl w:val="0"/>
        </w:rPr>
        <w:t xml:space="preserve"> The primary Rabi staple recorded its own historic peak at </w:t>
      </w:r>
      <w:r w:rsidDel="00000000" w:rsidR="00000000" w:rsidRPr="00000000">
        <w:rPr>
          <w:rFonts w:ascii="Google Sans Text" w:cs="Google Sans Text" w:eastAsia="Google Sans Text" w:hAnsi="Google Sans Text"/>
          <w:b w:val="1"/>
          <w:bCs w:val="1"/>
          <w:color w:val="1f1f1f"/>
          <w:rtl w:val="0"/>
        </w:rPr>
        <w:t xml:space="preserve">117.94 million tonnes</w:t>
      </w:r>
      <w:r w:rsidDel="00000000" w:rsidR="00000000" w:rsidRPr="00000000">
        <w:rPr>
          <w:rFonts w:ascii="Google Sans Text" w:cs="Google Sans Text" w:eastAsia="Google Sans Text" w:hAnsi="Google Sans Text"/>
          <w:color w:val="1f1f1f"/>
          <w:rtl w:val="0"/>
        </w:rPr>
        <w:t xml:space="preserve">, an increase of roughly 4.65 million tonnes.</w:t>
      </w:r>
      <w:r w:rsidDel="00000000" w:rsidR="00000000" w:rsidRPr="00000000">
        <w:rPr>
          <w:rFonts w:ascii="Google Sans Text" w:cs="Google Sans Text" w:eastAsia="Google Sans Text" w:hAnsi="Google Sans Text"/>
          <w:color w:val="444746"/>
          <w:sz w:val="24"/>
          <w:szCs w:val="24"/>
          <w:vertAlign w:val="superscript"/>
          <w:rtl w:val="0"/>
        </w:rPr>
        <w:t xml:space="preserve">27</w:t>
      </w:r>
      <w:r w:rsidDel="00000000" w:rsidR="00000000" w:rsidRPr="00000000">
        <w:rPr>
          <w:rFonts w:ascii="Google Sans Text" w:cs="Google Sans Text" w:eastAsia="Google Sans Text" w:hAnsi="Google Sans Text"/>
          <w:color w:val="1f1f1f"/>
          <w:rtl w:val="0"/>
        </w:rPr>
        <w:t xml:space="preserve"> This robust output acts as a critical macroeconomic stabilizer against the persistent volatility in global wheat supply chains stemming from geopolitical conflicts.</w:t>
      </w:r>
    </w:p>
    <w:p w:rsidR="00000000" w:rsidDel="00000000" w:rsidP="00000000" w:rsidRDefault="00000000" w:rsidRPr="00000000" w14:paraId="00000069">
      <w:pPr>
        <w:numPr>
          <w:ilvl w:val="0"/>
          <w:numId w:val="1"/>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Maize:</w:t>
      </w:r>
      <w:r w:rsidDel="00000000" w:rsidR="00000000" w:rsidRPr="00000000">
        <w:rPr>
          <w:rFonts w:ascii="Google Sans Text" w:cs="Google Sans Text" w:eastAsia="Google Sans Text" w:hAnsi="Google Sans Text"/>
          <w:color w:val="1f1f1f"/>
          <w:rtl w:val="0"/>
        </w:rPr>
        <w:t xml:space="preserve"> Within the nutri/coarse cereals category, maize has emerged as a highly strategic crop, recording an estimated output of </w:t>
      </w:r>
      <w:r w:rsidDel="00000000" w:rsidR="00000000" w:rsidRPr="00000000">
        <w:rPr>
          <w:rFonts w:ascii="Google Sans Text" w:cs="Google Sans Text" w:eastAsia="Google Sans Text" w:hAnsi="Google Sans Text"/>
          <w:b w:val="1"/>
          <w:bCs w:val="1"/>
          <w:color w:val="1f1f1f"/>
          <w:rtl w:val="0"/>
        </w:rPr>
        <w:t xml:space="preserve">43.41 million tonnes</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27</w:t>
      </w:r>
      <w:r w:rsidDel="00000000" w:rsidR="00000000" w:rsidRPr="00000000">
        <w:rPr>
          <w:rFonts w:ascii="Google Sans Text" w:cs="Google Sans Text" w:eastAsia="Google Sans Text" w:hAnsi="Google Sans Text"/>
          <w:color w:val="1f1f1f"/>
          <w:rtl w:val="0"/>
        </w:rPr>
        <w:t xml:space="preserve"> The exponential growth in maize production is driven by dual industrial imperatives: securing reliable feed for the rapidly expanding livestock sector and providing the primary feedstock necessary to fulfill the government's aggressive 20 percent ethanol blending targets.</w:t>
      </w:r>
      <w:r w:rsidDel="00000000" w:rsidR="00000000" w:rsidRPr="00000000">
        <w:rPr>
          <w:rFonts w:ascii="Google Sans Text" w:cs="Google Sans Text" w:eastAsia="Google Sans Text" w:hAnsi="Google Sans Text"/>
          <w:color w:val="444746"/>
          <w:sz w:val="24"/>
          <w:szCs w:val="24"/>
          <w:vertAlign w:val="superscript"/>
          <w:rtl w:val="0"/>
        </w:rPr>
        <w:t xml:space="preserve">29</w:t>
      </w:r>
    </w:p>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Furthermore, to systematically reduce an over-reliance on imported edible oils and pulses, specific policy missions—such as the Self-Reliance in Pulses Mission (2025-31)—have driven total oilseed output to nearly 43 million tonnes, spearheaded by record soybean (15.27 million tonnes) and groundnut harvests.</w:t>
      </w:r>
      <w:r w:rsidDel="00000000" w:rsidR="00000000" w:rsidRPr="00000000">
        <w:rPr>
          <w:rFonts w:ascii="Google Sans Text" w:cs="Google Sans Text" w:eastAsia="Google Sans Text" w:hAnsi="Google Sans Text"/>
          <w:color w:val="444746"/>
          <w:sz w:val="24"/>
          <w:szCs w:val="24"/>
          <w:vertAlign w:val="superscript"/>
          <w:rtl w:val="0"/>
        </w:rPr>
        <w:t xml:space="preserve">27</w:t>
      </w:r>
    </w:p>
    <w:p w:rsidR="00000000" w:rsidDel="00000000" w:rsidP="00000000" w:rsidRDefault="00000000" w:rsidRPr="00000000" w14:paraId="0000006B">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International Trade Architecture and Balance of Payments</w:t>
      </w:r>
    </w:p>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India's external sector demonstrates a strategic evolution from exporting primary commodities toward shipping high-value, complex manufactured goods and digital services. Despite navigating an intensely fragmented global trade environment characterized by protectionist tariffs and geopolitical stress, India recorded total exports (merchandise and services combined) of USD 825.3 billion in FY25.</w:t>
      </w:r>
      <w:r w:rsidDel="00000000" w:rsidR="00000000" w:rsidRPr="00000000">
        <w:rPr>
          <w:rFonts w:ascii="Google Sans Text" w:cs="Google Sans Text" w:eastAsia="Google Sans Text" w:hAnsi="Google Sans Text"/>
          <w:color w:val="444746"/>
          <w:sz w:val="24"/>
          <w:szCs w:val="24"/>
          <w:vertAlign w:val="superscript"/>
          <w:rtl w:val="0"/>
        </w:rPr>
        <w:t xml:space="preserve">7</w:t>
      </w:r>
    </w:p>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India's Top 3 Export Items:</w:t>
      </w:r>
    </w:p>
    <w:p w:rsidR="00000000" w:rsidDel="00000000" w:rsidP="00000000" w:rsidRDefault="00000000" w:rsidRPr="00000000" w14:paraId="0000006E">
      <w:pPr>
        <w:numPr>
          <w:ilvl w:val="0"/>
          <w:numId w:val="2"/>
        </w:numPr>
        <w:pBdr>
          <w:top w:space="0" w:sz="0" w:val="nil"/>
          <w:left w:space="0" w:sz="0" w:val="nil"/>
          <w:bottom w:space="0" w:sz="0" w:val="nil"/>
          <w:right w:space="0" w:sz="0" w:val="nil"/>
          <w:between w:space="0" w:sz="0" w:val="nil"/>
        </w:pBdr>
        <w:shd w:fill="auto" w:val="clear"/>
        <w:spacing w:after="0" w:after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Refined Petroleum, Mineral Fuels, and Distillation Products:</w:t>
      </w:r>
      <w:r w:rsidDel="00000000" w:rsidR="00000000" w:rsidRPr="00000000">
        <w:rPr>
          <w:rFonts w:ascii="Google Sans Text" w:cs="Google Sans Text" w:eastAsia="Google Sans Text" w:hAnsi="Google Sans Text"/>
          <w:color w:val="1f1f1f"/>
          <w:rtl w:val="0"/>
        </w:rPr>
        <w:t xml:space="preserve"> Capitalizing on massive, highly optimized coastal refining infrastructure, India imports raw crude and exports high-value refined petroleum distillates, which constitute roughly 17 percent of total merchandise exports.</w:t>
      </w:r>
      <w:r w:rsidDel="00000000" w:rsidR="00000000" w:rsidRPr="00000000">
        <w:rPr>
          <w:rFonts w:ascii="Google Sans Text" w:cs="Google Sans Text" w:eastAsia="Google Sans Text" w:hAnsi="Google Sans Text"/>
          <w:color w:val="444746"/>
          <w:sz w:val="24"/>
          <w:szCs w:val="24"/>
          <w:vertAlign w:val="superscript"/>
          <w:rtl w:val="0"/>
        </w:rPr>
        <w:t xml:space="preserve">31</w:t>
      </w:r>
    </w:p>
    <w:p w:rsidR="00000000" w:rsidDel="00000000" w:rsidP="00000000" w:rsidRDefault="00000000" w:rsidRPr="00000000" w14:paraId="0000006F">
      <w:pPr>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Electronic Goods and Telecom Instruments:</w:t>
      </w:r>
      <w:r w:rsidDel="00000000" w:rsidR="00000000" w:rsidRPr="00000000">
        <w:rPr>
          <w:rFonts w:ascii="Google Sans Text" w:cs="Google Sans Text" w:eastAsia="Google Sans Text" w:hAnsi="Google Sans Text"/>
          <w:color w:val="1f1f1f"/>
          <w:rtl w:val="0"/>
        </w:rPr>
        <w:t xml:space="preserve"> This category represents the most explosive structural shift in India's export basket. Supercharged by domestic Production Linked Incentive (PLI) schemes targeting mobile assembly and component manufacturing, exports of telecom instruments and electronics have registered massive year-on-year growth, effectively integrating India into global tech supply chains.</w:t>
      </w:r>
      <w:r w:rsidDel="00000000" w:rsidR="00000000" w:rsidRPr="00000000">
        <w:rPr>
          <w:rFonts w:ascii="Google Sans Text" w:cs="Google Sans Text" w:eastAsia="Google Sans Text" w:hAnsi="Google Sans Text"/>
          <w:color w:val="444746"/>
          <w:sz w:val="24"/>
          <w:szCs w:val="24"/>
          <w:vertAlign w:val="superscript"/>
          <w:rtl w:val="0"/>
        </w:rPr>
        <w:t xml:space="preserve">31</w:t>
      </w:r>
    </w:p>
    <w:p w:rsidR="00000000" w:rsidDel="00000000" w:rsidP="00000000" w:rsidRDefault="00000000" w:rsidRPr="00000000" w14:paraId="00000070">
      <w:pPr>
        <w:numPr>
          <w:ilvl w:val="0"/>
          <w:numId w:val="2"/>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Pharmaceuticals, Drug Formulations, and Biologicals:</w:t>
      </w:r>
      <w:r w:rsidDel="00000000" w:rsidR="00000000" w:rsidRPr="00000000">
        <w:rPr>
          <w:rFonts w:ascii="Google Sans Text" w:cs="Google Sans Text" w:eastAsia="Google Sans Text" w:hAnsi="Google Sans Text"/>
          <w:color w:val="1f1f1f"/>
          <w:rtl w:val="0"/>
        </w:rPr>
        <w:t xml:space="preserve"> Firmly established as the "pharmacy of the global south," India exports vast quantities of generic medicaments, active pharmaceutical ingredients, and advanced biologicals, primarily targeting highly regulated markets in North America and Europe.</w:t>
      </w:r>
      <w:r w:rsidDel="00000000" w:rsidR="00000000" w:rsidRPr="00000000">
        <w:rPr>
          <w:rFonts w:ascii="Google Sans Text" w:cs="Google Sans Text" w:eastAsia="Google Sans Text" w:hAnsi="Google Sans Text"/>
          <w:color w:val="444746"/>
          <w:sz w:val="24"/>
          <w:szCs w:val="24"/>
          <w:vertAlign w:val="superscript"/>
          <w:rtl w:val="0"/>
        </w:rPr>
        <w:t xml:space="preserve">31</w:t>
      </w:r>
      <w:r w:rsidDel="00000000" w:rsidR="00000000" w:rsidRPr="00000000">
        <w:rPr>
          <w:rFonts w:ascii="Google Sans Text" w:cs="Google Sans Text" w:eastAsia="Google Sans Text" w:hAnsi="Google Sans Text"/>
          <w:color w:val="1f1f1f"/>
          <w:rtl w:val="0"/>
        </w:rPr>
        <w:t xml:space="preserve"> (Note: Gems, pearls, and jewelry also maintain a highly significant, albeit fluctuating, share of the export basket </w:t>
      </w:r>
      <w:r w:rsidDel="00000000" w:rsidR="00000000" w:rsidRPr="00000000">
        <w:rPr>
          <w:rFonts w:ascii="Google Sans Text" w:cs="Google Sans Text" w:eastAsia="Google Sans Text" w:hAnsi="Google Sans Text"/>
          <w:color w:val="444746"/>
          <w:sz w:val="24"/>
          <w:szCs w:val="24"/>
          <w:vertAlign w:val="superscript"/>
          <w:rtl w:val="0"/>
        </w:rPr>
        <w:t xml:space="preserve">32</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spacing w:after="120" w:before="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India's Top 3 Import Items:</w:t>
      </w:r>
    </w:p>
    <w:p w:rsidR="00000000" w:rsidDel="00000000" w:rsidP="00000000" w:rsidRDefault="00000000" w:rsidRPr="00000000" w14:paraId="00000072">
      <w:pPr>
        <w:numPr>
          <w:ilvl w:val="0"/>
          <w:numId w:val="3"/>
        </w:numPr>
        <w:pBdr>
          <w:top w:space="0" w:sz="0" w:val="nil"/>
          <w:left w:space="0" w:sz="0" w:val="nil"/>
          <w:bottom w:space="0" w:sz="0" w:val="nil"/>
          <w:right w:space="0" w:sz="0" w:val="nil"/>
          <w:between w:space="0" w:sz="0" w:val="nil"/>
        </w:pBdr>
        <w:shd w:fill="auto" w:val="clear"/>
        <w:spacing w:after="0" w:after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Petroleum Crude and Mineral Fuels:</w:t>
      </w:r>
      <w:r w:rsidDel="00000000" w:rsidR="00000000" w:rsidRPr="00000000">
        <w:rPr>
          <w:rFonts w:ascii="Google Sans Text" w:cs="Google Sans Text" w:eastAsia="Google Sans Text" w:hAnsi="Google Sans Text"/>
          <w:color w:val="1f1f1f"/>
          <w:rtl w:val="0"/>
        </w:rPr>
        <w:t xml:space="preserve"> As a fast-growing, energy-intensive economy lacking sufficient domestic hydrocarbon reserves, crude oil remains the dominant and highly inelastic import, dictating the structural baseline of India's trade deficit.</w:t>
      </w:r>
      <w:r w:rsidDel="00000000" w:rsidR="00000000" w:rsidRPr="00000000">
        <w:rPr>
          <w:rFonts w:ascii="Google Sans Text" w:cs="Google Sans Text" w:eastAsia="Google Sans Text" w:hAnsi="Google Sans Text"/>
          <w:color w:val="444746"/>
          <w:sz w:val="24"/>
          <w:szCs w:val="24"/>
          <w:vertAlign w:val="superscript"/>
          <w:rtl w:val="0"/>
        </w:rPr>
        <w:t xml:space="preserve">33</w:t>
      </w:r>
    </w:p>
    <w:p w:rsidR="00000000" w:rsidDel="00000000" w:rsidP="00000000" w:rsidRDefault="00000000" w:rsidRPr="00000000" w14:paraId="00000073">
      <w:pPr>
        <w:numPr>
          <w:ilvl w:val="0"/>
          <w:numId w:val="3"/>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Electronic Components, Integrated Circuits, and Capital Machinery:</w:t>
      </w:r>
      <w:r w:rsidDel="00000000" w:rsidR="00000000" w:rsidRPr="00000000">
        <w:rPr>
          <w:rFonts w:ascii="Google Sans Text" w:cs="Google Sans Text" w:eastAsia="Google Sans Text" w:hAnsi="Google Sans Text"/>
          <w:color w:val="1f1f1f"/>
          <w:rtl w:val="0"/>
        </w:rPr>
        <w:t xml:space="preserve"> To feed the rapidly expanding domestic assembly lines and infrastructure projects, India imports immense quantities of upstream capital goods, aerospace parts, and critical technological hardware.</w:t>
      </w:r>
      <w:r w:rsidDel="00000000" w:rsidR="00000000" w:rsidRPr="00000000">
        <w:rPr>
          <w:rFonts w:ascii="Google Sans Text" w:cs="Google Sans Text" w:eastAsia="Google Sans Text" w:hAnsi="Google Sans Text"/>
          <w:color w:val="444746"/>
          <w:sz w:val="24"/>
          <w:szCs w:val="24"/>
          <w:vertAlign w:val="superscript"/>
          <w:rtl w:val="0"/>
        </w:rPr>
        <w:t xml:space="preserve">33</w:t>
      </w:r>
    </w:p>
    <w:p w:rsidR="00000000" w:rsidDel="00000000" w:rsidP="00000000" w:rsidRDefault="00000000" w:rsidRPr="00000000" w14:paraId="00000074">
      <w:pPr>
        <w:numPr>
          <w:ilvl w:val="0"/>
          <w:numId w:val="3"/>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Gold, Pearls, and Precious Stones:</w:t>
      </w:r>
      <w:r w:rsidDel="00000000" w:rsidR="00000000" w:rsidRPr="00000000">
        <w:rPr>
          <w:rFonts w:ascii="Google Sans Text" w:cs="Google Sans Text" w:eastAsia="Google Sans Text" w:hAnsi="Google Sans Text"/>
          <w:color w:val="1f1f1f"/>
          <w:rtl w:val="0"/>
        </w:rPr>
        <w:t xml:space="preserve"> Driven by deep-seated cultural consumption patterns and the raw material requirements of the gem and jewelry export sector, bullion remains a massive drain on foreign exchange reserves, occasionally prompting restrictive import tariff interventions.</w:t>
      </w:r>
      <w:r w:rsidDel="00000000" w:rsidR="00000000" w:rsidRPr="00000000">
        <w:rPr>
          <w:rFonts w:ascii="Google Sans Text" w:cs="Google Sans Text" w:eastAsia="Google Sans Text" w:hAnsi="Google Sans Text"/>
          <w:color w:val="444746"/>
          <w:sz w:val="24"/>
          <w:szCs w:val="24"/>
          <w:vertAlign w:val="superscript"/>
          <w:rtl w:val="0"/>
        </w:rPr>
        <w:t xml:space="preserve">31</w:t>
      </w:r>
    </w:p>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spacing w:after="120" w:before="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India's Top 3 Trading Partners:</w:t>
      </w:r>
    </w:p>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geographic distribution of India's trade highlights complex geopolitical balancing acts.</w:t>
      </w:r>
    </w:p>
    <w:p w:rsidR="00000000" w:rsidDel="00000000" w:rsidP="00000000" w:rsidRDefault="00000000" w:rsidRPr="00000000" w14:paraId="00000077">
      <w:pPr>
        <w:numPr>
          <w:ilvl w:val="0"/>
          <w:numId w:val="4"/>
        </w:numPr>
        <w:pBdr>
          <w:top w:space="0" w:sz="0" w:val="nil"/>
          <w:left w:space="0" w:sz="0" w:val="nil"/>
          <w:bottom w:space="0" w:sz="0" w:val="nil"/>
          <w:right w:space="0" w:sz="0" w:val="nil"/>
          <w:between w:space="0" w:sz="0" w:val="nil"/>
        </w:pBdr>
        <w:shd w:fill="auto" w:val="clear"/>
        <w:spacing w:after="0" w:after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United States:</w:t>
      </w:r>
      <w:r w:rsidDel="00000000" w:rsidR="00000000" w:rsidRPr="00000000">
        <w:rPr>
          <w:rFonts w:ascii="Google Sans Text" w:cs="Google Sans Text" w:eastAsia="Google Sans Text" w:hAnsi="Google Sans Text"/>
          <w:color w:val="1f1f1f"/>
          <w:rtl w:val="0"/>
        </w:rPr>
        <w:t xml:space="preserve"> The US is India's largest overall trading partner and its primary export destination. Crucially, it is one of the few major global economies with which India maintains a structural trade surplus (surpassing $40 billion), anchored by exports of IT services, pharmaceuticals, and engineering goods.</w:t>
      </w:r>
      <w:r w:rsidDel="00000000" w:rsidR="00000000" w:rsidRPr="00000000">
        <w:rPr>
          <w:rFonts w:ascii="Google Sans Text" w:cs="Google Sans Text" w:eastAsia="Google Sans Text" w:hAnsi="Google Sans Text"/>
          <w:color w:val="444746"/>
          <w:sz w:val="24"/>
          <w:szCs w:val="24"/>
          <w:vertAlign w:val="superscript"/>
          <w:rtl w:val="0"/>
        </w:rPr>
        <w:t xml:space="preserve">33</w:t>
      </w:r>
    </w:p>
    <w:p w:rsidR="00000000" w:rsidDel="00000000" w:rsidP="00000000" w:rsidRDefault="00000000" w:rsidRPr="00000000" w14:paraId="00000078">
      <w:pPr>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China:</w:t>
      </w:r>
      <w:r w:rsidDel="00000000" w:rsidR="00000000" w:rsidRPr="00000000">
        <w:rPr>
          <w:rFonts w:ascii="Google Sans Text" w:cs="Google Sans Text" w:eastAsia="Google Sans Text" w:hAnsi="Google Sans Text"/>
          <w:color w:val="1f1f1f"/>
          <w:rtl w:val="0"/>
        </w:rPr>
        <w:t xml:space="preserve"> China remains deeply embedded in the Indian industrial ecosystem. While Indian exports to China are relatively modest, China is the undisputed dominant source of India's imports—specifically supplying the active pharmaceutical ingredients, industrial chemicals, and electronic components vital to Indian manufacturing. Consequently, India runs its largest bilateral trade deficit with China.</w:t>
      </w:r>
      <w:r w:rsidDel="00000000" w:rsidR="00000000" w:rsidRPr="00000000">
        <w:rPr>
          <w:rFonts w:ascii="Google Sans Text" w:cs="Google Sans Text" w:eastAsia="Google Sans Text" w:hAnsi="Google Sans Text"/>
          <w:color w:val="444746"/>
          <w:sz w:val="24"/>
          <w:szCs w:val="24"/>
          <w:vertAlign w:val="superscript"/>
          <w:rtl w:val="0"/>
        </w:rPr>
        <w:t xml:space="preserve">34</w:t>
      </w:r>
    </w:p>
    <w:p w:rsidR="00000000" w:rsidDel="00000000" w:rsidP="00000000" w:rsidRDefault="00000000" w:rsidRPr="00000000" w14:paraId="00000079">
      <w:pPr>
        <w:numPr>
          <w:ilvl w:val="0"/>
          <w:numId w:val="4"/>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United Arab Emirates (UAE):</w:t>
      </w:r>
      <w:r w:rsidDel="00000000" w:rsidR="00000000" w:rsidRPr="00000000">
        <w:rPr>
          <w:rFonts w:ascii="Google Sans Text" w:cs="Google Sans Text" w:eastAsia="Google Sans Text" w:hAnsi="Google Sans Text"/>
          <w:color w:val="1f1f1f"/>
          <w:rtl w:val="0"/>
        </w:rPr>
        <w:t xml:space="preserve"> Facilitated by historic trade ties and recent comprehensive economic partnership agreements, the UAE serves a dual role. It is a critical supplier of energy and petroleum products, and it acts as the primary strategic transshipment hub for Indian exports destined for the broader Middle East and North African markets.</w:t>
      </w:r>
      <w:r w:rsidDel="00000000" w:rsidR="00000000" w:rsidRPr="00000000">
        <w:rPr>
          <w:rFonts w:ascii="Google Sans Text" w:cs="Google Sans Text" w:eastAsia="Google Sans Text" w:hAnsi="Google Sans Text"/>
          <w:color w:val="444746"/>
          <w:sz w:val="24"/>
          <w:szCs w:val="24"/>
          <w:vertAlign w:val="superscript"/>
          <w:rtl w:val="0"/>
        </w:rPr>
        <w:t xml:space="preserve">34</w:t>
      </w:r>
    </w:p>
    <w:p w:rsidR="00000000" w:rsidDel="00000000" w:rsidP="00000000" w:rsidRDefault="00000000" w:rsidRPr="00000000" w14:paraId="0000007A">
      <w:pPr>
        <w:pStyle w:val="Heading2"/>
        <w:pBdr>
          <w:top w:space="0" w:sz="0" w:val="nil"/>
          <w:left w:space="0" w:sz="0" w:val="nil"/>
          <w:bottom w:space="0" w:sz="0" w:val="nil"/>
          <w:right w:space="0" w:sz="0" w:val="nil"/>
          <w:between w:space="0" w:sz="0" w:val="nil"/>
        </w:pBdr>
        <w:shd w:fill="auto" w:val="clear"/>
        <w:spacing w:after="12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Resource 4: Institutional Cheat Sheet</w:t>
      </w:r>
    </w:p>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execution of complex fiscal policy, monetary targeting, and sector-specific development relies entirely on the efficacy of apex statutory institutions. Understanding the evolution, structural composition, and fundamental mandates of these bodies is essential for analyzing the mechanics of Indian economic governance.</w:t>
      </w:r>
    </w:p>
    <w:p w:rsidR="00000000" w:rsidDel="00000000" w:rsidP="00000000" w:rsidRDefault="00000000" w:rsidRPr="00000000" w14:paraId="0000007C">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Paradigms of Planning: NITI Aayog vs. Planning Commission</w:t>
      </w:r>
    </w:p>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transition from the Planning Commission to the NITI Aayog in 2015 marked a definitive ideological shift in statecraft—moving away from Soviet-style centralized resource allocation toward an agile, modern think-tank model emphasizing competitive federalism.</w:t>
      </w:r>
    </w:p>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1f1f1f"/>
        </w:rPr>
      </w:pPr>
      <w:r w:rsidDel="00000000" w:rsidR="00000000" w:rsidRPr="00000000">
        <w:rPr>
          <w:rtl w:val="0"/>
        </w:rPr>
      </w:r>
    </w:p>
    <w:tbl>
      <w:tblPr>
        <w:tblStyle w:val="Table5"/>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Institutional Feature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NITI Aayog (National Institution for Transforming India)</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The Planning Commission</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Establishment Year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January 1, 2015</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March 15, 1950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Core Approach &amp; Ideology</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b w:val="1"/>
                <w:bCs w:val="1"/>
                <w:color w:val="1f1f1f"/>
                <w:shd w:fill="auto" w:val="clear"/>
                <w:rtl w:val="0"/>
              </w:rPr>
              <w:t xml:space="preserve">Bottom-Up:</w:t>
            </w:r>
            <w:r w:rsidDel="00000000" w:rsidR="00000000" w:rsidRPr="00000000">
              <w:rPr>
                <w:rFonts w:ascii="Google Sans Text" w:cs="Google Sans Text" w:eastAsia="Google Sans Text" w:hAnsi="Google Sans Text"/>
                <w:color w:val="1f1f1f"/>
                <w:shd w:fill="auto" w:val="clear"/>
                <w:rtl w:val="0"/>
              </w:rPr>
              <w:t xml:space="preserve"> Operates on the principle of "cooperative and competitive federalism." State governments are active, equal partners in policy formulation.</w:t>
            </w:r>
            <w:r w:rsidDel="00000000" w:rsidR="00000000" w:rsidRPr="00000000">
              <w:rPr>
                <w:rFonts w:ascii="Google Sans Text" w:cs="Google Sans Text" w:eastAsia="Google Sans Text" w:hAnsi="Google Sans Text"/>
                <w:color w:val="444746"/>
                <w:sz w:val="24"/>
                <w:szCs w:val="24"/>
                <w:vertAlign w:val="superscript"/>
                <w:rtl w:val="0"/>
              </w:rPr>
              <w:t xml:space="preserve">36</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b w:val="1"/>
                <w:bCs w:val="1"/>
                <w:color w:val="1f1f1f"/>
                <w:shd w:fill="auto" w:val="clear"/>
                <w:rtl w:val="0"/>
              </w:rPr>
              <w:t xml:space="preserve">Top-Down:</w:t>
            </w:r>
            <w:r w:rsidDel="00000000" w:rsidR="00000000" w:rsidRPr="00000000">
              <w:rPr>
                <w:rFonts w:ascii="Google Sans Text" w:cs="Google Sans Text" w:eastAsia="Google Sans Text" w:hAnsi="Google Sans Text"/>
                <w:color w:val="1f1f1f"/>
                <w:shd w:fill="auto" w:val="clear"/>
                <w:rtl w:val="0"/>
              </w:rPr>
              <w:t xml:space="preserve"> Functioned as a highly centralized macroeconomic planning body, imposing directives on state governments.</w:t>
            </w:r>
            <w:r w:rsidDel="00000000" w:rsidR="00000000" w:rsidRPr="00000000">
              <w:rPr>
                <w:rFonts w:ascii="Google Sans Text" w:cs="Google Sans Text" w:eastAsia="Google Sans Text" w:hAnsi="Google Sans Text"/>
                <w:color w:val="444746"/>
                <w:sz w:val="24"/>
                <w:szCs w:val="24"/>
                <w:vertAlign w:val="superscript"/>
                <w:rtl w:val="0"/>
              </w:rPr>
              <w:t xml:space="preserve">36</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Primary Output</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9">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Generates flexible, non-binding strategic documents, such as 15-year roadmaps and 7-year visions, while focusing on innovation and technological integration.</w:t>
            </w:r>
            <w:r w:rsidDel="00000000" w:rsidR="00000000" w:rsidRPr="00000000">
              <w:rPr>
                <w:rFonts w:ascii="Google Sans Text" w:cs="Google Sans Text" w:eastAsia="Google Sans Text" w:hAnsi="Google Sans Text"/>
                <w:color w:val="444746"/>
                <w:sz w:val="24"/>
                <w:szCs w:val="24"/>
                <w:vertAlign w:val="superscript"/>
                <w:rtl w:val="0"/>
              </w:rPr>
              <w:t xml:space="preserve">36</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A">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Formulated rigid, target-based Five-Year Plans focusing heavily on industrial growth and infrastructure.</w:t>
            </w:r>
            <w:r w:rsidDel="00000000" w:rsidR="00000000" w:rsidRPr="00000000">
              <w:rPr>
                <w:rFonts w:ascii="Google Sans Text" w:cs="Google Sans Text" w:eastAsia="Google Sans Text" w:hAnsi="Google Sans Text"/>
                <w:color w:val="444746"/>
                <w:sz w:val="24"/>
                <w:szCs w:val="24"/>
                <w:vertAlign w:val="superscript"/>
                <w:rtl w:val="0"/>
              </w:rPr>
              <w:t xml:space="preserve">36</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Financial Authority</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C">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Acts strictly as an advisory think-tank; it possesses absolutely </w:t>
            </w:r>
            <w:r w:rsidDel="00000000" w:rsidR="00000000" w:rsidRPr="00000000">
              <w:rPr>
                <w:rFonts w:ascii="Google Sans Text" w:cs="Google Sans Text" w:eastAsia="Google Sans Text" w:hAnsi="Google Sans Text"/>
                <w:b w:val="1"/>
                <w:bCs w:val="1"/>
                <w:color w:val="1f1f1f"/>
                <w:shd w:fill="auto" w:val="clear"/>
                <w:rtl w:val="0"/>
              </w:rPr>
              <w:t xml:space="preserve">no power</w:t>
            </w:r>
            <w:r w:rsidDel="00000000" w:rsidR="00000000" w:rsidRPr="00000000">
              <w:rPr>
                <w:rFonts w:ascii="Google Sans Text" w:cs="Google Sans Text" w:eastAsia="Google Sans Text" w:hAnsi="Google Sans Text"/>
                <w:color w:val="1f1f1f"/>
                <w:shd w:fill="auto" w:val="clear"/>
                <w:rtl w:val="0"/>
              </w:rPr>
              <w:t xml:space="preserve"> to allocate capital. Financial disbursement remains the exclusive domain of the Finance Ministry.</w:t>
            </w:r>
            <w:r w:rsidDel="00000000" w:rsidR="00000000" w:rsidRPr="00000000">
              <w:rPr>
                <w:rFonts w:ascii="Google Sans Text" w:cs="Google Sans Text" w:eastAsia="Google Sans Text" w:hAnsi="Google Sans Text"/>
                <w:color w:val="444746"/>
                <w:sz w:val="24"/>
                <w:szCs w:val="24"/>
                <w:vertAlign w:val="superscript"/>
                <w:rtl w:val="0"/>
              </w:rPr>
              <w:t xml:space="preserve">36</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D">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Wielded massive executive power; directly controlled the allocation of vast financial resources to state governments and central ministries.</w:t>
            </w:r>
            <w:r w:rsidDel="00000000" w:rsidR="00000000" w:rsidRPr="00000000">
              <w:rPr>
                <w:rFonts w:ascii="Google Sans Text" w:cs="Google Sans Text" w:eastAsia="Google Sans Text" w:hAnsi="Google Sans Text"/>
                <w:color w:val="444746"/>
                <w:sz w:val="24"/>
                <w:szCs w:val="24"/>
                <w:vertAlign w:val="superscript"/>
                <w:rtl w:val="0"/>
              </w:rPr>
              <w:t xml:space="preserve">36</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State Involvement &amp; Structure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Features a highly inclusive Governing Council comprising the Prime Minister, all State Chief Ministers, and UT Lieutenant Governors.</w:t>
            </w:r>
            <w:r w:rsidDel="00000000" w:rsidR="00000000" w:rsidRPr="00000000">
              <w:rPr>
                <w:rFonts w:ascii="Google Sans Text" w:cs="Google Sans Text" w:eastAsia="Google Sans Text" w:hAnsi="Google Sans Text"/>
                <w:color w:val="444746"/>
                <w:sz w:val="24"/>
                <w:szCs w:val="24"/>
                <w:vertAlign w:val="superscript"/>
                <w:rtl w:val="0"/>
              </w:rPr>
              <w:t xml:space="preserve">37</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State involvement was highly restricted, primarily limited to annual reviews at the National Development Council (NDC).</w:t>
            </w:r>
            <w:r w:rsidDel="00000000" w:rsidR="00000000" w:rsidRPr="00000000">
              <w:rPr>
                <w:rFonts w:ascii="Google Sans Text" w:cs="Google Sans Text" w:eastAsia="Google Sans Text" w:hAnsi="Google Sans Text"/>
                <w:color w:val="444746"/>
                <w:sz w:val="24"/>
                <w:szCs w:val="24"/>
                <w:vertAlign w:val="superscript"/>
                <w:rtl w:val="0"/>
              </w:rPr>
              <w:t xml:space="preserve">37</w:t>
            </w:r>
          </w:p>
        </w:tc>
      </w:tr>
    </w:tbl>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While the Planning Commission succeeded in rapidly building the industrial base of a newly independent nation through massive public sector investments, its rigid, "one-size-fits-all" methodology became a bottleneck in a highly diversified, post-1991 market economy.</w:t>
      </w:r>
      <w:r w:rsidDel="00000000" w:rsidR="00000000" w:rsidRPr="00000000">
        <w:rPr>
          <w:rFonts w:ascii="Google Sans Text" w:cs="Google Sans Text" w:eastAsia="Google Sans Text" w:hAnsi="Google Sans Text"/>
          <w:color w:val="444746"/>
          <w:sz w:val="24"/>
          <w:szCs w:val="24"/>
          <w:vertAlign w:val="superscript"/>
          <w:rtl w:val="0"/>
        </w:rPr>
        <w:t xml:space="preserve">38</w:t>
      </w:r>
      <w:r w:rsidDel="00000000" w:rsidR="00000000" w:rsidRPr="00000000">
        <w:rPr>
          <w:rFonts w:ascii="Google Sans Text" w:cs="Google Sans Text" w:eastAsia="Google Sans Text" w:hAnsi="Google Sans Text"/>
          <w:color w:val="1f1f1f"/>
          <w:rtl w:val="0"/>
        </w:rPr>
        <w:t xml:space="preserve"> NITI Aayog was engineered to recognize that solutions for coastal industrial states differ vastly from those required by landlocked agrarian states, functioning primarily as a knowledge repository rather than a financial distributor.</w:t>
      </w:r>
    </w:p>
    <w:p w:rsidR="00000000" w:rsidDel="00000000" w:rsidP="00000000" w:rsidRDefault="00000000" w:rsidRPr="00000000" w14:paraId="00000092">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Monetary Architecture: The RBI and the Monetary Policy Committee</w:t>
      </w:r>
    </w:p>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Reserve Bank of India (RBI) operates as the apex monetary authority, utilizing specific liquidity and interest rate instruments to manage the delicate equilibrium between accelerating economic growth and containing inflation.</w:t>
      </w:r>
    </w:p>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Prior to 2016, the power to alter fundamental interest rates rested solely with the Governor of the RBI. To modernize this process and align it with global best practices, the Reserve Bank of India Act, 1934, was amended to establish the </w:t>
      </w:r>
      <w:r w:rsidDel="00000000" w:rsidR="00000000" w:rsidRPr="00000000">
        <w:rPr>
          <w:rFonts w:ascii="Google Sans Text" w:cs="Google Sans Text" w:eastAsia="Google Sans Text" w:hAnsi="Google Sans Text"/>
          <w:b w:val="1"/>
          <w:bCs w:val="1"/>
          <w:color w:val="1f1f1f"/>
          <w:rtl w:val="0"/>
        </w:rPr>
        <w:t xml:space="preserve">Monetary Policy Committee (MPC)</w:t>
      </w:r>
      <w:r w:rsidDel="00000000" w:rsidR="00000000" w:rsidRPr="00000000">
        <w:rPr>
          <w:rFonts w:ascii="Google Sans Text" w:cs="Google Sans Text" w:eastAsia="Google Sans Text" w:hAnsi="Google Sans Text"/>
          <w:color w:val="1f1f1f"/>
          <w:rtl w:val="0"/>
        </w:rPr>
        <w:t xml:space="preserve"> under Section 45ZB.</w:t>
      </w:r>
      <w:r w:rsidDel="00000000" w:rsidR="00000000" w:rsidRPr="00000000">
        <w:rPr>
          <w:rFonts w:ascii="Google Sans Text" w:cs="Google Sans Text" w:eastAsia="Google Sans Text" w:hAnsi="Google Sans Text"/>
          <w:color w:val="444746"/>
          <w:sz w:val="24"/>
          <w:szCs w:val="24"/>
          <w:vertAlign w:val="superscript"/>
          <w:rtl w:val="0"/>
        </w:rPr>
        <w:t xml:space="preserve">39</w:t>
      </w:r>
      <w:r w:rsidDel="00000000" w:rsidR="00000000" w:rsidRPr="00000000">
        <w:rPr>
          <w:rFonts w:ascii="Google Sans Text" w:cs="Google Sans Text" w:eastAsia="Google Sans Text" w:hAnsi="Google Sans Text"/>
          <w:color w:val="1f1f1f"/>
          <w:rtl w:val="0"/>
        </w:rPr>
        <w:t xml:space="preserve"> The MPC is a six-member committee designed to bring transparency and democratic consensus to rate-setting. It consists of three internal members from the RBI—including the Governor, who serves as the ex-officio Chairperson with a casting vote in the event of a tie—and three external macroeconomic experts appointed by the Central Government.</w:t>
      </w:r>
      <w:r w:rsidDel="00000000" w:rsidR="00000000" w:rsidRPr="00000000">
        <w:rPr>
          <w:rFonts w:ascii="Google Sans Text" w:cs="Google Sans Text" w:eastAsia="Google Sans Text" w:hAnsi="Google Sans Text"/>
          <w:color w:val="444746"/>
          <w:sz w:val="24"/>
          <w:szCs w:val="24"/>
          <w:vertAlign w:val="superscript"/>
          <w:rtl w:val="0"/>
        </w:rPr>
        <w:t xml:space="preserve">41</w:t>
      </w:r>
      <w:r w:rsidDel="00000000" w:rsidR="00000000" w:rsidRPr="00000000">
        <w:rPr>
          <w:rFonts w:ascii="Google Sans Text" w:cs="Google Sans Text" w:eastAsia="Google Sans Text" w:hAnsi="Google Sans Text"/>
          <w:color w:val="1f1f1f"/>
          <w:rtl w:val="0"/>
        </w:rPr>
        <w:t xml:space="preserve"> The MPC operates under a statutory Flexible Inflation Targeting (FIT) framework, legally mandated to maintain consumer price inflation (CPI) at a target of 4 percent, with an allowable tolerance band of +/- 2 percent.</w:t>
      </w:r>
      <w:r w:rsidDel="00000000" w:rsidR="00000000" w:rsidRPr="00000000">
        <w:rPr>
          <w:rFonts w:ascii="Google Sans Text" w:cs="Google Sans Text" w:eastAsia="Google Sans Text" w:hAnsi="Google Sans Text"/>
          <w:color w:val="444746"/>
          <w:sz w:val="24"/>
          <w:szCs w:val="24"/>
          <w:vertAlign w:val="superscript"/>
          <w:rtl w:val="0"/>
        </w:rPr>
        <w:t xml:space="preserve">42</w:t>
      </w:r>
    </w:p>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In its recent macroeconomic assessment in </w:t>
      </w:r>
      <w:r w:rsidDel="00000000" w:rsidR="00000000" w:rsidRPr="00000000">
        <w:rPr>
          <w:rFonts w:ascii="Google Sans Text" w:cs="Google Sans Text" w:eastAsia="Google Sans Text" w:hAnsi="Google Sans Text"/>
          <w:b w:val="1"/>
          <w:bCs w:val="1"/>
          <w:color w:val="1f1f1f"/>
          <w:rtl w:val="0"/>
        </w:rPr>
        <w:t xml:space="preserve">February 2026</w:t>
      </w:r>
      <w:r w:rsidDel="00000000" w:rsidR="00000000" w:rsidRPr="00000000">
        <w:rPr>
          <w:rFonts w:ascii="Google Sans Text" w:cs="Google Sans Text" w:eastAsia="Google Sans Text" w:hAnsi="Google Sans Text"/>
          <w:color w:val="1f1f1f"/>
          <w:rtl w:val="0"/>
        </w:rPr>
        <w:t xml:space="preserve">, the MPC evaluated an environment characterized by strong domestic GDP growth and contained core inflation, albeit with sporadic volatility in food prices. Prioritizing stability and the transmission of past rate cuts, the MPC voted to maintain a "neutral" policy stance, leaving the benchmark rates unchanged.</w:t>
      </w:r>
      <w:r w:rsidDel="00000000" w:rsidR="00000000" w:rsidRPr="00000000">
        <w:rPr>
          <w:rFonts w:ascii="Google Sans Text" w:cs="Google Sans Text" w:eastAsia="Google Sans Text" w:hAnsi="Google Sans Text"/>
          <w:color w:val="444746"/>
          <w:sz w:val="24"/>
          <w:szCs w:val="24"/>
          <w:vertAlign w:val="superscript"/>
          <w:rtl w:val="0"/>
        </w:rPr>
        <w:t xml:space="preserve">1</w:t>
      </w:r>
    </w:p>
    <w:p w:rsidR="00000000" w:rsidDel="00000000" w:rsidP="00000000" w:rsidRDefault="00000000" w:rsidRPr="00000000" w14:paraId="00000096">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Current RBI Policy Rates (February 2026 Benchmark):</w:t>
      </w:r>
    </w:p>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b w:val="1"/>
          <w:bCs w:val="1"/>
          <w:color w:val="1f1f1f"/>
        </w:rPr>
      </w:pPr>
      <w:r w:rsidDel="00000000" w:rsidR="00000000" w:rsidRPr="00000000">
        <w:rPr>
          <w:rtl w:val="0"/>
        </w:rPr>
      </w:r>
    </w:p>
    <w:tbl>
      <w:tblPr>
        <w:tblStyle w:val="Table6"/>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Policy Instrument</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Current Rate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Economic Mechanism and Purpose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Repo Rate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5.25%</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D">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The primary benchmark interest rate at which the RBI lends short-term funds to commercial banks. It is the core signal for the overarching monetary stance, directly impacting the cost of credit in the broader economy.</w:t>
            </w:r>
            <w:r w:rsidDel="00000000" w:rsidR="00000000" w:rsidRPr="00000000">
              <w:rPr>
                <w:rFonts w:ascii="Google Sans Text" w:cs="Google Sans Text" w:eastAsia="Google Sans Text" w:hAnsi="Google Sans Text"/>
                <w:color w:val="444746"/>
                <w:sz w:val="24"/>
                <w:szCs w:val="24"/>
                <w:vertAlign w:val="superscript"/>
                <w:rtl w:val="0"/>
              </w:rPr>
              <w:t xml:space="preserve">45</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Reverse Repo Rate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3.35%</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The rate at which the RBI absorbs excess liquidity by borrowing from commercial banks. (Note: While still a formal rate, its operational significance has been largely superseded by the Standing Deposit Facility currently set at 5.00%).</w:t>
            </w:r>
            <w:r w:rsidDel="00000000" w:rsidR="00000000" w:rsidRPr="00000000">
              <w:rPr>
                <w:rFonts w:ascii="Google Sans Text" w:cs="Google Sans Text" w:eastAsia="Google Sans Text" w:hAnsi="Google Sans Text"/>
                <w:color w:val="444746"/>
                <w:sz w:val="24"/>
                <w:szCs w:val="24"/>
                <w:vertAlign w:val="superscript"/>
                <w:rtl w:val="0"/>
              </w:rPr>
              <w:t xml:space="preserve">45</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Cash Reserve Ratio (CRR)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3.00%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3">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The mandatory percentage of total net demand and time liabilities (NDTL) that commercial banks must hold as liquid cash with the RBI. It earns no interest and acts as a direct lever to contract or expand the money multiplier.</w:t>
            </w:r>
            <w:r w:rsidDel="00000000" w:rsidR="00000000" w:rsidRPr="00000000">
              <w:rPr>
                <w:rFonts w:ascii="Google Sans Text" w:cs="Google Sans Text" w:eastAsia="Google Sans Text" w:hAnsi="Google Sans Text"/>
                <w:color w:val="444746"/>
                <w:sz w:val="24"/>
                <w:szCs w:val="24"/>
                <w:vertAlign w:val="superscript"/>
                <w:rtl w:val="0"/>
              </w:rPr>
              <w:t xml:space="preserve">46</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Statutory Liquidity Ratio (SLR)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18.00%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6">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The mandatory percentage of deposits that banks must invest in designated safe, liquid assets—primarily Central and State Government securities—before extending commercial credit. It ensures banking solvency and creates a captive market for sovereign debt.</w:t>
            </w:r>
            <w:r w:rsidDel="00000000" w:rsidR="00000000" w:rsidRPr="00000000">
              <w:rPr>
                <w:rFonts w:ascii="Google Sans Text" w:cs="Google Sans Text" w:eastAsia="Google Sans Text" w:hAnsi="Google Sans Text"/>
                <w:color w:val="444746"/>
                <w:sz w:val="24"/>
                <w:szCs w:val="24"/>
                <w:vertAlign w:val="superscript"/>
                <w:rtl w:val="0"/>
              </w:rPr>
              <w:t xml:space="preserve">46</w:t>
            </w:r>
          </w:p>
        </w:tc>
      </w:tr>
    </w:tbl>
    <w:p w:rsidR="00000000" w:rsidDel="00000000" w:rsidP="00000000" w:rsidRDefault="00000000" w:rsidRPr="00000000" w14:paraId="000000A7">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Apex Regulatory and Developmental Bodies</w:t>
      </w:r>
    </w:p>
    <w:p w:rsidR="00000000" w:rsidDel="00000000" w:rsidP="00000000" w:rsidRDefault="00000000" w:rsidRPr="00000000" w14:paraId="000000A8">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To ensure specialized oversight and targeted credit flow across specific verticals of the financial ecosystem, the institutional architecture relies on dedicated statutory bodies.</w:t>
      </w:r>
    </w:p>
    <w:p w:rsidR="00000000" w:rsidDel="00000000" w:rsidP="00000000" w:rsidRDefault="00000000" w:rsidRPr="00000000" w14:paraId="000000A9">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1f1f1f"/>
        </w:rPr>
      </w:pPr>
      <w:r w:rsidDel="00000000" w:rsidR="00000000" w:rsidRPr="00000000">
        <w:rPr>
          <w:rtl w:val="0"/>
        </w:rPr>
      </w:r>
    </w:p>
    <w:tbl>
      <w:tblPr>
        <w:tblStyle w:val="Table7"/>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Institution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Establishment Year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Primary Objective and Mandate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SEBI</w:t>
            </w:r>
            <w:r w:rsidDel="00000000" w:rsidR="00000000" w:rsidRPr="00000000">
              <w:rPr>
                <w:rFonts w:ascii="Google Sans Text" w:cs="Google Sans Text" w:eastAsia="Google Sans Text" w:hAnsi="Google Sans Text"/>
                <w:color w:val="1f1f1f"/>
                <w:shd w:fill="auto" w:val="clear"/>
                <w:rtl w:val="0"/>
              </w:rPr>
              <w:t xml:space="preserve"> (Securities and Exchange Board of India)</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Established as a non-statutory body in 1988; granted statutory regulatory powers in </w:t>
            </w:r>
            <w:r w:rsidDel="00000000" w:rsidR="00000000" w:rsidRPr="00000000">
              <w:rPr>
                <w:rFonts w:ascii="Google Sans Text" w:cs="Google Sans Text" w:eastAsia="Google Sans Text" w:hAnsi="Google Sans Text"/>
                <w:b w:val="1"/>
                <w:bCs w:val="1"/>
                <w:color w:val="1f1f1f"/>
                <w:shd w:fill="auto" w:val="clear"/>
                <w:rtl w:val="0"/>
              </w:rPr>
              <w:t xml:space="preserve">1992</w:t>
            </w:r>
            <w:r w:rsidDel="00000000" w:rsidR="00000000" w:rsidRPr="00000000">
              <w:rPr>
                <w:rFonts w:ascii="Google Sans Text" w:cs="Google Sans Text" w:eastAsia="Google Sans Text" w:hAnsi="Google Sans Text"/>
                <w:color w:val="1f1f1f"/>
                <w:shd w:fill="auto" w:val="clear"/>
                <w:rtl w:val="0"/>
              </w:rPr>
              <w:t xml:space="preserv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F">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Serves as the apex regulator for capital markets. Its primary mandate is to protect the interests of retail and institutional investors, promote the development of the securities market, and regulate stock exchanges to prevent fraudulent practices.</w:t>
            </w:r>
            <w:r w:rsidDel="00000000" w:rsidR="00000000" w:rsidRPr="00000000">
              <w:rPr>
                <w:rFonts w:ascii="Google Sans Text" w:cs="Google Sans Text" w:eastAsia="Google Sans Text" w:hAnsi="Google Sans Text"/>
                <w:color w:val="444746"/>
                <w:sz w:val="24"/>
                <w:szCs w:val="24"/>
                <w:vertAlign w:val="superscript"/>
                <w:rtl w:val="0"/>
              </w:rPr>
              <w:t xml:space="preserve">47</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NABARD</w:t>
            </w:r>
            <w:r w:rsidDel="00000000" w:rsidR="00000000" w:rsidRPr="00000000">
              <w:rPr>
                <w:rFonts w:ascii="Google Sans Text" w:cs="Google Sans Text" w:eastAsia="Google Sans Text" w:hAnsi="Google Sans Text"/>
                <w:color w:val="1f1f1f"/>
                <w:shd w:fill="auto" w:val="clear"/>
                <w:rtl w:val="0"/>
              </w:rPr>
              <w:t xml:space="preserve"> (National Bank for Agriculture and Rural Development)</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1982</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Functions as the premier development financial institution focusing primarily on the rural economy. Its core objective is to provide and regulate credit flow, offer refinancing facilities to regional rural banks, and formulate policy planning for agriculture and cottage industries.</w:t>
            </w:r>
            <w:r w:rsidDel="00000000" w:rsidR="00000000" w:rsidRPr="00000000">
              <w:rPr>
                <w:rFonts w:ascii="Google Sans Text" w:cs="Google Sans Text" w:eastAsia="Google Sans Text" w:hAnsi="Google Sans Text"/>
                <w:color w:val="444746"/>
                <w:sz w:val="24"/>
                <w:szCs w:val="24"/>
                <w:vertAlign w:val="superscript"/>
                <w:rtl w:val="0"/>
              </w:rPr>
              <w:t xml:space="preserve">48</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SIDBI</w:t>
            </w:r>
            <w:r w:rsidDel="00000000" w:rsidR="00000000" w:rsidRPr="00000000">
              <w:rPr>
                <w:rFonts w:ascii="Google Sans Text" w:cs="Google Sans Text" w:eastAsia="Google Sans Text" w:hAnsi="Google Sans Text"/>
                <w:color w:val="1f1f1f"/>
                <w:shd w:fill="auto" w:val="clear"/>
                <w:rtl w:val="0"/>
              </w:rPr>
              <w:t xml:space="preserve"> (Small Industries Development Bank of India)</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April 2, 1990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5">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Established under an Act of Parliament, SIDBI acts as the principal financial institution for the promotion, financing, and development of the Micro, Small, and Medium Enterprise (MSME) sector. It provides direct lending, operates massive refinance programs for commercial banks lending to MSMEs, and coordinates the functions of similar developmental institutions to bolster grassroots industrialization.</w:t>
            </w:r>
            <w:r w:rsidDel="00000000" w:rsidR="00000000" w:rsidRPr="00000000">
              <w:rPr>
                <w:rFonts w:ascii="Google Sans Text" w:cs="Google Sans Text" w:eastAsia="Google Sans Text" w:hAnsi="Google Sans Text"/>
                <w:color w:val="444746"/>
                <w:sz w:val="24"/>
                <w:szCs w:val="24"/>
                <w:vertAlign w:val="superscript"/>
                <w:rtl w:val="0"/>
              </w:rPr>
              <w:t xml:space="preserve">49</w:t>
            </w:r>
          </w:p>
        </w:tc>
      </w:tr>
    </w:tbl>
    <w:p w:rsidR="00000000" w:rsidDel="00000000" w:rsidP="00000000" w:rsidRDefault="00000000" w:rsidRPr="00000000" w14:paraId="000000B6">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Conclusion</w:t>
      </w:r>
    </w:p>
    <w:p w:rsidR="00000000" w:rsidDel="00000000" w:rsidP="00000000" w:rsidRDefault="00000000" w:rsidRPr="00000000" w14:paraId="000000B7">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empirical evidence synthesized from the Union Budget 2026-27, the Economic Survey 2025-26, and contemporary trade statistics projects an Indian economy operating from a position of profound, structural resilience. The fiscal architecture is presently defined by an aggressive consolidation of the primary deficit and a structural shift toward direct tax generation. This prudent revenue mobilization creates the highly sustainable fiscal space required for the government's immense capital expenditure initiatives, which aim to physically modernize the nation without triggering inflationary borrowing. Simultaneously, the economy's early transformation into a services-dominated value-addition model provides a vast protective buffer against the volatility of global merchandise trade, even as domestic industrial capabilities expand under targeted Production Linked Incentive frameworks.</w:t>
      </w:r>
    </w:p>
    <w:p w:rsidR="00000000" w:rsidDel="00000000" w:rsidP="00000000" w:rsidRDefault="00000000" w:rsidRPr="00000000" w14:paraId="000000B8">
      <w:pPr>
        <w:pBdr>
          <w:top w:space="0" w:sz="0" w:val="nil"/>
          <w:left w:space="0" w:sz="0" w:val="nil"/>
          <w:bottom w:space="0" w:sz="0" w:val="nil"/>
          <w:right w:space="0" w:sz="0" w:val="nil"/>
          <w:between w:space="0" w:sz="0" w:val="nil"/>
        </w:pBdr>
        <w:shd w:fill="auto" w:val="clear"/>
        <w:spacing w:after="255"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Crucially, none of these contemporary macroeconomic strengths exist in isolation. They are the direct, downstream dividends of the traumatic yet deeply catalytic 1991 Balance of Payments crisis. The intellectual frameworks constructed by the Narasimham and Chelliah committees dismantled the archaic, paralyzing command economy, introducing the banking autonomy and tax rationalization necessary for massive private capital formation. Subsequent legislative milestones—from the fiscal discipline of the FRBM Act to the market unification of the GST and the capital resolution mechanics of the IBC—have continuously refined this trajectory. Complemented by institutional agility, witnessed in the replacement of the rigid Planning Commission with the collaborative NITI Aayog, and an independent Monetary Policy Committee maintaining a highly calculated stable interest rate environment, India has successfully engineered a macroeconomic ecosystem capable of sustaining a 7 percent long-term growth threshold. The ongoing shift in the agricultural landscape toward high-value allied sectors, combined with an export strategy increasingly reliant on sophisticated digital services and electronics, indicates that the economy is not merely surviving global headwinds but actively cementing its strategic indispensability within the future global economic order.</w:t>
      </w:r>
    </w:p>
    <w:p w:rsidR="00000000" w:rsidDel="00000000" w:rsidP="00000000" w:rsidRDefault="00000000" w:rsidRPr="00000000" w14:paraId="000000B9">
      <w:pPr>
        <w:pStyle w:val="Heading4"/>
        <w:pBdr>
          <w:top w:space="0" w:sz="0" w:val="nil"/>
          <w:left w:space="0" w:sz="0" w:val="nil"/>
          <w:bottom w:space="0" w:sz="0" w:val="nil"/>
          <w:right w:space="0" w:sz="0" w:val="nil"/>
          <w:between w:space="0" w:sz="0" w:val="nil"/>
        </w:pBdr>
        <w:shd w:fill="auto" w:val="clear"/>
        <w:spacing w:before="0"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Works cited</w:t>
      </w:r>
    </w:p>
    <w:p w:rsidR="00000000" w:rsidDel="00000000" w:rsidP="00000000" w:rsidRDefault="00000000" w:rsidRPr="00000000" w14:paraId="000000BA">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RBI MPC February 2026: Repo Rate Held at 5.25%, Focus on Stability - Sahi, accessed February 17, 2026, </w:t>
      </w:r>
      <w:hyperlink r:id="rId6">
        <w:r w:rsidDel="00000000" w:rsidR="00000000" w:rsidRPr="00000000">
          <w:rPr>
            <w:rFonts w:ascii="Google Sans" w:cs="Google Sans" w:eastAsia="Google Sans" w:hAnsi="Google Sans"/>
            <w:color w:val="0000ee"/>
            <w:sz w:val="24"/>
            <w:szCs w:val="24"/>
            <w:u w:val="single"/>
            <w:rtl w:val="0"/>
          </w:rPr>
          <w:t xml:space="preserve">https://sahi.com/blogs/rbi-mpc-february-2026-repo-rate-held-at-5-25-as-rbi-prioritises-stability-over-fresh-easing</w:t>
        </w:r>
      </w:hyperlink>
      <w:r w:rsidDel="00000000" w:rsidR="00000000" w:rsidRPr="00000000">
        <w:rPr>
          <w:rtl w:val="0"/>
        </w:rPr>
      </w:r>
    </w:p>
    <w:p w:rsidR="00000000" w:rsidDel="00000000" w:rsidP="00000000" w:rsidRDefault="00000000" w:rsidRPr="00000000" w14:paraId="000000BB">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Union Budget 2026-27 Highlights - EY, accessed February 17, 2026, </w:t>
      </w:r>
      <w:hyperlink r:id="rId7">
        <w:r w:rsidDel="00000000" w:rsidR="00000000" w:rsidRPr="00000000">
          <w:rPr>
            <w:rFonts w:ascii="Google Sans" w:cs="Google Sans" w:eastAsia="Google Sans" w:hAnsi="Google Sans"/>
            <w:color w:val="0000ee"/>
            <w:sz w:val="24"/>
            <w:szCs w:val="24"/>
            <w:u w:val="single"/>
            <w:rtl w:val="0"/>
          </w:rPr>
          <w:t xml:space="preserve">https://www.ey.com/content/dam/ey-unified-site/ey-com/en-in/services/tax/union-budget-2026/ey-union-budget-2026-27-highlights.pdf</w:t>
        </w:r>
      </w:hyperlink>
      <w:r w:rsidDel="00000000" w:rsidR="00000000" w:rsidRPr="00000000">
        <w:rPr>
          <w:rtl w:val="0"/>
        </w:rPr>
      </w:r>
    </w:p>
    <w:p w:rsidR="00000000" w:rsidDel="00000000" w:rsidP="00000000" w:rsidRDefault="00000000" w:rsidRPr="00000000" w14:paraId="000000BC">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highlights of union budget 2026-27 - PIB, accessed February 17, 2026, </w:t>
      </w:r>
      <w:hyperlink r:id="rId8">
        <w:r w:rsidDel="00000000" w:rsidR="00000000" w:rsidRPr="00000000">
          <w:rPr>
            <w:rFonts w:ascii="Google Sans" w:cs="Google Sans" w:eastAsia="Google Sans" w:hAnsi="Google Sans"/>
            <w:color w:val="0000ee"/>
            <w:sz w:val="24"/>
            <w:szCs w:val="24"/>
            <w:u w:val="single"/>
            <w:rtl w:val="0"/>
          </w:rPr>
          <w:t xml:space="preserve">https://www.pib.gov.in/PressReleasePage.aspx?PRID=2221455®=3&amp;lang=1</w:t>
        </w:r>
      </w:hyperlink>
      <w:r w:rsidDel="00000000" w:rsidR="00000000" w:rsidRPr="00000000">
        <w:rPr>
          <w:rtl w:val="0"/>
        </w:rPr>
      </w:r>
    </w:p>
    <w:p w:rsidR="00000000" w:rsidDel="00000000" w:rsidP="00000000" w:rsidRDefault="00000000" w:rsidRPr="00000000" w14:paraId="000000BD">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UNION BUDGET 2026 - 2027 - Axis Bank, accessed February 17, 2026, </w:t>
      </w:r>
      <w:hyperlink r:id="rId9">
        <w:r w:rsidDel="00000000" w:rsidR="00000000" w:rsidRPr="00000000">
          <w:rPr>
            <w:rFonts w:ascii="Google Sans" w:cs="Google Sans" w:eastAsia="Google Sans" w:hAnsi="Google Sans"/>
            <w:color w:val="0000ee"/>
            <w:sz w:val="24"/>
            <w:szCs w:val="24"/>
            <w:u w:val="single"/>
            <w:rtl w:val="0"/>
          </w:rPr>
          <w:t xml:space="preserve">https://www.axis.bank.in/docs/default-source/default-document-library/highlights-of-union-budget-2026-27.pdf?sfvrsn=bf82c409_3</w:t>
        </w:r>
      </w:hyperlink>
      <w:r w:rsidDel="00000000" w:rsidR="00000000" w:rsidRPr="00000000">
        <w:rPr>
          <w:rtl w:val="0"/>
        </w:rPr>
      </w:r>
    </w:p>
    <w:p w:rsidR="00000000" w:rsidDel="00000000" w:rsidP="00000000" w:rsidRDefault="00000000" w:rsidRPr="00000000" w14:paraId="000000BE">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Union Budget 2026-27 Analysis - PRS India, accessed February 17, 2026, </w:t>
      </w:r>
      <w:hyperlink r:id="rId10">
        <w:r w:rsidDel="00000000" w:rsidR="00000000" w:rsidRPr="00000000">
          <w:rPr>
            <w:rFonts w:ascii="Google Sans" w:cs="Google Sans" w:eastAsia="Google Sans" w:hAnsi="Google Sans"/>
            <w:color w:val="0000ee"/>
            <w:sz w:val="24"/>
            <w:szCs w:val="24"/>
            <w:u w:val="single"/>
            <w:rtl w:val="0"/>
          </w:rPr>
          <w:t xml:space="preserve">https://prsindia.org/files/budget/budget_parliament/2026/Union_Budget_Analysis-2026-27.pdf</w:t>
        </w:r>
      </w:hyperlink>
      <w:r w:rsidDel="00000000" w:rsidR="00000000" w:rsidRPr="00000000">
        <w:rPr>
          <w:rtl w:val="0"/>
        </w:rPr>
      </w:r>
    </w:p>
    <w:p w:rsidR="00000000" w:rsidDel="00000000" w:rsidP="00000000" w:rsidRDefault="00000000" w:rsidRPr="00000000" w14:paraId="000000BF">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Key Features of Budget 2026-2027, accessed February 17, 2026, </w:t>
      </w:r>
      <w:hyperlink r:id="rId11">
        <w:r w:rsidDel="00000000" w:rsidR="00000000" w:rsidRPr="00000000">
          <w:rPr>
            <w:rFonts w:ascii="Google Sans" w:cs="Google Sans" w:eastAsia="Google Sans" w:hAnsi="Google Sans"/>
            <w:color w:val="0000ee"/>
            <w:sz w:val="24"/>
            <w:szCs w:val="24"/>
            <w:u w:val="single"/>
            <w:rtl w:val="0"/>
          </w:rPr>
          <w:t xml:space="preserve">https://www.indiabudget.gov.in/doc/bh1.pdf</w:t>
        </w:r>
      </w:hyperlink>
      <w:r w:rsidDel="00000000" w:rsidR="00000000" w:rsidRPr="00000000">
        <w:rPr>
          <w:rtl w:val="0"/>
        </w:rPr>
      </w:r>
    </w:p>
    <w:p w:rsidR="00000000" w:rsidDel="00000000" w:rsidP="00000000" w:rsidRDefault="00000000" w:rsidRPr="00000000" w14:paraId="000000C0">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india's real gdp estimated to grow by 7.4% in fy 2025–26, with nominal gdp growth at 8% - PIB, accessed February 17, 2026, </w:t>
      </w:r>
      <w:hyperlink r:id="rId12">
        <w:r w:rsidDel="00000000" w:rsidR="00000000" w:rsidRPr="00000000">
          <w:rPr>
            <w:rFonts w:ascii="Google Sans" w:cs="Google Sans" w:eastAsia="Google Sans" w:hAnsi="Google Sans"/>
            <w:color w:val="0000ee"/>
            <w:sz w:val="24"/>
            <w:szCs w:val="24"/>
            <w:u w:val="single"/>
            <w:rtl w:val="0"/>
          </w:rPr>
          <w:t xml:space="preserve">https://www.pib.gov.in/PressReleasePage.aspx?PRID=2221389</w:t>
        </w:r>
      </w:hyperlink>
      <w:r w:rsidDel="00000000" w:rsidR="00000000" w:rsidRPr="00000000">
        <w:rPr>
          <w:rtl w:val="0"/>
        </w:rPr>
      </w:r>
    </w:p>
    <w:p w:rsidR="00000000" w:rsidDel="00000000" w:rsidP="00000000" w:rsidRDefault="00000000" w:rsidRPr="00000000" w14:paraId="000000C1">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Economic Survey 2025-26 - PIB, accessed February 17, 2026, </w:t>
      </w:r>
      <w:hyperlink r:id="rId13">
        <w:r w:rsidDel="00000000" w:rsidR="00000000" w:rsidRPr="00000000">
          <w:rPr>
            <w:rFonts w:ascii="Google Sans" w:cs="Google Sans" w:eastAsia="Google Sans" w:hAnsi="Google Sans"/>
            <w:color w:val="0000ee"/>
            <w:sz w:val="24"/>
            <w:szCs w:val="24"/>
            <w:u w:val="single"/>
            <w:rtl w:val="0"/>
          </w:rPr>
          <w:t xml:space="preserve">https://www.pib.gov.in/PressReleasePage.aspx?PRID=2220800</w:t>
        </w:r>
      </w:hyperlink>
      <w:r w:rsidDel="00000000" w:rsidR="00000000" w:rsidRPr="00000000">
        <w:rPr>
          <w:rtl w:val="0"/>
        </w:rPr>
      </w:r>
    </w:p>
    <w:p w:rsidR="00000000" w:rsidDel="00000000" w:rsidP="00000000" w:rsidRDefault="00000000" w:rsidRPr="00000000" w14:paraId="000000C2">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Economic Survey 2025–26 - Drishti IAS, accessed February 17, 2026, </w:t>
      </w:r>
      <w:hyperlink r:id="rId14">
        <w:r w:rsidDel="00000000" w:rsidR="00000000" w:rsidRPr="00000000">
          <w:rPr>
            <w:rFonts w:ascii="Google Sans" w:cs="Google Sans" w:eastAsia="Google Sans" w:hAnsi="Google Sans"/>
            <w:color w:val="0000ee"/>
            <w:sz w:val="24"/>
            <w:szCs w:val="24"/>
            <w:u w:val="single"/>
            <w:rtl w:val="0"/>
          </w:rPr>
          <w:t xml:space="preserve">https://www.drishtiias.com/daily-updates/daily-news-analysis/economic-survey-2025-26</w:t>
        </w:r>
      </w:hyperlink>
      <w:r w:rsidDel="00000000" w:rsidR="00000000" w:rsidRPr="00000000">
        <w:rPr>
          <w:rtl w:val="0"/>
        </w:rPr>
      </w:r>
    </w:p>
    <w:p w:rsidR="00000000" w:rsidDel="00000000" w:rsidP="00000000" w:rsidRDefault="00000000" w:rsidRPr="00000000" w14:paraId="000000C3">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India's Fiscal Stress 2026: Decoding Nominal GDP &amp; Tax Trends - MarketExpress, accessed February 17, 2026, </w:t>
      </w:r>
      <w:hyperlink r:id="rId15">
        <w:r w:rsidDel="00000000" w:rsidR="00000000" w:rsidRPr="00000000">
          <w:rPr>
            <w:rFonts w:ascii="Google Sans" w:cs="Google Sans" w:eastAsia="Google Sans" w:hAnsi="Google Sans"/>
            <w:color w:val="0000ee"/>
            <w:sz w:val="24"/>
            <w:szCs w:val="24"/>
            <w:u w:val="single"/>
            <w:rtl w:val="0"/>
          </w:rPr>
          <w:t xml:space="preserve">https://www.marketexpress.in/2026/01/indias-fiscal-stress-2026-decoding-nominal-gdp-tax-trends.html</w:t>
        </w:r>
      </w:hyperlink>
      <w:r w:rsidDel="00000000" w:rsidR="00000000" w:rsidRPr="00000000">
        <w:rPr>
          <w:rtl w:val="0"/>
        </w:rPr>
      </w:r>
    </w:p>
    <w:p w:rsidR="00000000" w:rsidDel="00000000" w:rsidP="00000000" w:rsidRDefault="00000000" w:rsidRPr="00000000" w14:paraId="000000C4">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Important Key Highlights of Economic Survey 2025-26 - A2Z Taxcorp LLP, accessed February 17, 2026, </w:t>
      </w:r>
      <w:hyperlink r:id="rId16">
        <w:r w:rsidDel="00000000" w:rsidR="00000000" w:rsidRPr="00000000">
          <w:rPr>
            <w:rFonts w:ascii="Google Sans" w:cs="Google Sans" w:eastAsia="Google Sans" w:hAnsi="Google Sans"/>
            <w:color w:val="0000ee"/>
            <w:sz w:val="24"/>
            <w:szCs w:val="24"/>
            <w:u w:val="single"/>
            <w:rtl w:val="0"/>
          </w:rPr>
          <w:t xml:space="preserve">https://a2ztaxcorp.net/important-key-highlights-of-economic-survey-2025-26/</w:t>
        </w:r>
      </w:hyperlink>
      <w:r w:rsidDel="00000000" w:rsidR="00000000" w:rsidRPr="00000000">
        <w:rPr>
          <w:rtl w:val="0"/>
        </w:rPr>
      </w:r>
    </w:p>
    <w:p w:rsidR="00000000" w:rsidDel="00000000" w:rsidP="00000000" w:rsidRDefault="00000000" w:rsidRPr="00000000" w14:paraId="000000C5">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Economic Survey 2025-26, Analysis and Key Findings - IBEF.org, accessed February 17, 2026, </w:t>
      </w:r>
      <w:hyperlink r:id="rId17">
        <w:r w:rsidDel="00000000" w:rsidR="00000000" w:rsidRPr="00000000">
          <w:rPr>
            <w:rFonts w:ascii="Google Sans" w:cs="Google Sans" w:eastAsia="Google Sans" w:hAnsi="Google Sans"/>
            <w:color w:val="0000ee"/>
            <w:sz w:val="24"/>
            <w:szCs w:val="24"/>
            <w:u w:val="single"/>
            <w:rtl w:val="0"/>
          </w:rPr>
          <w:t xml:space="preserve">https://www.ibef.org/economy/economic-survey-2025-26</w:t>
        </w:r>
      </w:hyperlink>
      <w:r w:rsidDel="00000000" w:rsidR="00000000" w:rsidRPr="00000000">
        <w:rPr>
          <w:rtl w:val="0"/>
        </w:rPr>
      </w:r>
    </w:p>
    <w:p w:rsidR="00000000" w:rsidDel="00000000" w:rsidP="00000000" w:rsidRDefault="00000000" w:rsidRPr="00000000" w14:paraId="000000C6">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highlights: economic survey 2025-26 - PIB, accessed February 17, 2026, </w:t>
      </w:r>
      <w:hyperlink r:id="rId18">
        <w:r w:rsidDel="00000000" w:rsidR="00000000" w:rsidRPr="00000000">
          <w:rPr>
            <w:rFonts w:ascii="Google Sans" w:cs="Google Sans" w:eastAsia="Google Sans" w:hAnsi="Google Sans"/>
            <w:color w:val="0000ee"/>
            <w:sz w:val="24"/>
            <w:szCs w:val="24"/>
            <w:u w:val="single"/>
            <w:rtl w:val="0"/>
          </w:rPr>
          <w:t xml:space="preserve">https://www.pib.gov.in/PressReleasePage.aspx?PRID=2219907</w:t>
        </w:r>
      </w:hyperlink>
      <w:r w:rsidDel="00000000" w:rsidR="00000000" w:rsidRPr="00000000">
        <w:rPr>
          <w:rtl w:val="0"/>
        </w:rPr>
      </w:r>
    </w:p>
    <w:p w:rsidR="00000000" w:rsidDel="00000000" w:rsidP="00000000" w:rsidRDefault="00000000" w:rsidRPr="00000000" w14:paraId="000000C7">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Will India's Fiscal Drag End in 2026 - 2027? | Wright Blogs, accessed February 17, 2026, </w:t>
      </w:r>
      <w:hyperlink r:id="rId19">
        <w:r w:rsidDel="00000000" w:rsidR="00000000" w:rsidRPr="00000000">
          <w:rPr>
            <w:rFonts w:ascii="Google Sans" w:cs="Google Sans" w:eastAsia="Google Sans" w:hAnsi="Google Sans"/>
            <w:color w:val="0000ee"/>
            <w:sz w:val="24"/>
            <w:szCs w:val="24"/>
            <w:u w:val="single"/>
            <w:rtl w:val="0"/>
          </w:rPr>
          <w:t xml:space="preserve">https://www.wrightresearch.in/blog/will-indias-fiscal-drag-end-in-2026-2027/</w:t>
        </w:r>
      </w:hyperlink>
      <w:r w:rsidDel="00000000" w:rsidR="00000000" w:rsidRPr="00000000">
        <w:rPr>
          <w:rtl w:val="0"/>
        </w:rPr>
      </w:r>
    </w:p>
    <w:p w:rsidR="00000000" w:rsidDel="00000000" w:rsidP="00000000" w:rsidRDefault="00000000" w:rsidRPr="00000000" w14:paraId="000000C8">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Economic Policy-1991, accessed February 17, 2026, </w:t>
      </w:r>
      <w:hyperlink r:id="rId20">
        <w:r w:rsidDel="00000000" w:rsidR="00000000" w:rsidRPr="00000000">
          <w:rPr>
            <w:rFonts w:ascii="Google Sans" w:cs="Google Sans" w:eastAsia="Google Sans" w:hAnsi="Google Sans"/>
            <w:color w:val="0000ee"/>
            <w:sz w:val="24"/>
            <w:szCs w:val="24"/>
            <w:u w:val="single"/>
            <w:rtl w:val="0"/>
          </w:rPr>
          <w:t xml:space="preserve">https://mlsu.ac.in/econtents/2369_Economic%20Policy-1991-converted.pdf</w:t>
        </w:r>
      </w:hyperlink>
      <w:r w:rsidDel="00000000" w:rsidR="00000000" w:rsidRPr="00000000">
        <w:rPr>
          <w:rtl w:val="0"/>
        </w:rPr>
      </w:r>
    </w:p>
    <w:p w:rsidR="00000000" w:rsidDel="00000000" w:rsidP="00000000" w:rsidRDefault="00000000" w:rsidRPr="00000000" w14:paraId="000000C9">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1991 Indian economic crisis - Wikipedia, accessed February 17, 2026, </w:t>
      </w:r>
      <w:hyperlink r:id="rId21">
        <w:r w:rsidDel="00000000" w:rsidR="00000000" w:rsidRPr="00000000">
          <w:rPr>
            <w:rFonts w:ascii="Google Sans" w:cs="Google Sans" w:eastAsia="Google Sans" w:hAnsi="Google Sans"/>
            <w:color w:val="0000ee"/>
            <w:sz w:val="24"/>
            <w:szCs w:val="24"/>
            <w:u w:val="single"/>
            <w:rtl w:val="0"/>
          </w:rPr>
          <w:t xml:space="preserve">https://en.wikipedia.org/wiki/1991_Indian_economic_crisis</w:t>
        </w:r>
      </w:hyperlink>
      <w:r w:rsidDel="00000000" w:rsidR="00000000" w:rsidRPr="00000000">
        <w:rPr>
          <w:rtl w:val="0"/>
        </w:rPr>
      </w:r>
    </w:p>
    <w:p w:rsidR="00000000" w:rsidDel="00000000" w:rsidP="00000000" w:rsidRDefault="00000000" w:rsidRPr="00000000" w14:paraId="000000CA">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CID Working Paper No. 089 :: A Decade of Economic Reforms in India: the Unfinished Agenda by Nirupam Bajpai, Center for Internat - Harvard Kennedy School, accessed February 17, 2026, </w:t>
      </w:r>
      <w:hyperlink r:id="rId22">
        <w:r w:rsidDel="00000000" w:rsidR="00000000" w:rsidRPr="00000000">
          <w:rPr>
            <w:rFonts w:ascii="Google Sans" w:cs="Google Sans" w:eastAsia="Google Sans" w:hAnsi="Google Sans"/>
            <w:color w:val="0000ee"/>
            <w:sz w:val="24"/>
            <w:szCs w:val="24"/>
            <w:u w:val="single"/>
            <w:rtl w:val="0"/>
          </w:rPr>
          <w:t xml:space="preserve">https://www.hks.harvard.edu/sites/default/files/centers/cid/files/publications/faculty-working-papers/89.pdf</w:t>
        </w:r>
      </w:hyperlink>
      <w:r w:rsidDel="00000000" w:rsidR="00000000" w:rsidRPr="00000000">
        <w:rPr>
          <w:rtl w:val="0"/>
        </w:rPr>
      </w:r>
    </w:p>
    <w:p w:rsidR="00000000" w:rsidDel="00000000" w:rsidP="00000000" w:rsidRDefault="00000000" w:rsidRPr="00000000" w14:paraId="000000CB">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Narasimham Committee - Wikipedia, accessed February 17, 2026, </w:t>
      </w:r>
      <w:hyperlink r:id="rId23">
        <w:r w:rsidDel="00000000" w:rsidR="00000000" w:rsidRPr="00000000">
          <w:rPr>
            <w:rFonts w:ascii="Google Sans" w:cs="Google Sans" w:eastAsia="Google Sans" w:hAnsi="Google Sans"/>
            <w:color w:val="0000ee"/>
            <w:sz w:val="24"/>
            <w:szCs w:val="24"/>
            <w:u w:val="single"/>
            <w:rtl w:val="0"/>
          </w:rPr>
          <w:t xml:space="preserve">https://en.wikipedia.org/wiki/Narasimham_Committee</w:t>
        </w:r>
      </w:hyperlink>
      <w:r w:rsidDel="00000000" w:rsidR="00000000" w:rsidRPr="00000000">
        <w:rPr>
          <w:rtl w:val="0"/>
        </w:rPr>
      </w:r>
    </w:p>
    <w:p w:rsidR="00000000" w:rsidDel="00000000" w:rsidP="00000000" w:rsidRDefault="00000000" w:rsidRPr="00000000" w14:paraId="000000CC">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Narasimham Committee Recommendations 1991 | PDF | Reserve Bank Of India - Scribd, accessed February 17, 2026, </w:t>
      </w:r>
      <w:hyperlink r:id="rId24">
        <w:r w:rsidDel="00000000" w:rsidR="00000000" w:rsidRPr="00000000">
          <w:rPr>
            <w:rFonts w:ascii="Google Sans" w:cs="Google Sans" w:eastAsia="Google Sans" w:hAnsi="Google Sans"/>
            <w:color w:val="0000ee"/>
            <w:sz w:val="24"/>
            <w:szCs w:val="24"/>
            <w:u w:val="single"/>
            <w:rtl w:val="0"/>
          </w:rPr>
          <w:t xml:space="preserve">https://www.scribd.com/doc/66968519/Narasimham-Committee-Recommendations-1991</w:t>
        </w:r>
      </w:hyperlink>
      <w:r w:rsidDel="00000000" w:rsidR="00000000" w:rsidRPr="00000000">
        <w:rPr>
          <w:rtl w:val="0"/>
        </w:rPr>
      </w:r>
    </w:p>
    <w:p w:rsidR="00000000" w:rsidDel="00000000" w:rsidP="00000000" w:rsidRDefault="00000000" w:rsidRPr="00000000" w14:paraId="000000CD">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Narasimham Committee, History, Recommendations, Importance - Vajiram &amp; Ravi, accessed February 17, 2026, </w:t>
      </w:r>
      <w:hyperlink r:id="rId25">
        <w:r w:rsidDel="00000000" w:rsidR="00000000" w:rsidRPr="00000000">
          <w:rPr>
            <w:rFonts w:ascii="Google Sans" w:cs="Google Sans" w:eastAsia="Google Sans" w:hAnsi="Google Sans"/>
            <w:color w:val="0000ee"/>
            <w:sz w:val="24"/>
            <w:szCs w:val="24"/>
            <w:u w:val="single"/>
            <w:rtl w:val="0"/>
          </w:rPr>
          <w:t xml:space="preserve">https://vajiramandravi.com/current-affairs/narasimham-committee/</w:t>
        </w:r>
      </w:hyperlink>
      <w:r w:rsidDel="00000000" w:rsidR="00000000" w:rsidRPr="00000000">
        <w:rPr>
          <w:rtl w:val="0"/>
        </w:rPr>
      </w:r>
    </w:p>
    <w:p w:rsidR="00000000" w:rsidDel="00000000" w:rsidP="00000000" w:rsidRDefault="00000000" w:rsidRPr="00000000" w14:paraId="000000CE">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Father of Taxation – Raja Chelliah Father of Tax Reforms in India - Testbook, accessed February 17, 2026, </w:t>
      </w:r>
      <w:hyperlink r:id="rId26">
        <w:r w:rsidDel="00000000" w:rsidR="00000000" w:rsidRPr="00000000">
          <w:rPr>
            <w:rFonts w:ascii="Google Sans" w:cs="Google Sans" w:eastAsia="Google Sans" w:hAnsi="Google Sans"/>
            <w:color w:val="0000ee"/>
            <w:sz w:val="24"/>
            <w:szCs w:val="24"/>
            <w:u w:val="single"/>
            <w:rtl w:val="0"/>
          </w:rPr>
          <w:t xml:space="preserve">https://testbook.com/articles/father-of-taxation</w:t>
        </w:r>
      </w:hyperlink>
      <w:r w:rsidDel="00000000" w:rsidR="00000000" w:rsidRPr="00000000">
        <w:rPr>
          <w:rtl w:val="0"/>
        </w:rPr>
      </w:r>
    </w:p>
    <w:p w:rsidR="00000000" w:rsidDel="00000000" w:rsidP="00000000" w:rsidRDefault="00000000" w:rsidRPr="00000000" w14:paraId="000000CF">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Tax Reforms Committee Final Report Part I - The 1991 Project, accessed February 17, 2026, </w:t>
      </w:r>
      <w:hyperlink r:id="rId27">
        <w:r w:rsidDel="00000000" w:rsidR="00000000" w:rsidRPr="00000000">
          <w:rPr>
            <w:rFonts w:ascii="Google Sans" w:cs="Google Sans" w:eastAsia="Google Sans" w:hAnsi="Google Sans"/>
            <w:color w:val="0000ee"/>
            <w:sz w:val="24"/>
            <w:szCs w:val="24"/>
            <w:u w:val="single"/>
            <w:rtl w:val="0"/>
          </w:rPr>
          <w:t xml:space="preserve">https://the1991project.com/sites/default/files/2023-07/1993%20Raja%20Cheliah%20Tax%20Reforms%20Committee%20Report.pdf</w:t>
        </w:r>
      </w:hyperlink>
      <w:r w:rsidDel="00000000" w:rsidR="00000000" w:rsidRPr="00000000">
        <w:rPr>
          <w:rtl w:val="0"/>
        </w:rPr>
      </w:r>
    </w:p>
    <w:p w:rsidR="00000000" w:rsidDel="00000000" w:rsidP="00000000" w:rsidRDefault="00000000" w:rsidRPr="00000000" w14:paraId="000000D0">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 need for tax reform, accessed February 17, 2026, </w:t>
      </w:r>
      <w:hyperlink r:id="rId28">
        <w:r w:rsidDel="00000000" w:rsidR="00000000" w:rsidRPr="00000000">
          <w:rPr>
            <w:rFonts w:ascii="Google Sans" w:cs="Google Sans" w:eastAsia="Google Sans" w:hAnsi="Google Sans"/>
            <w:color w:val="0000ee"/>
            <w:sz w:val="24"/>
            <w:szCs w:val="24"/>
            <w:u w:val="single"/>
            <w:rtl w:val="0"/>
          </w:rPr>
          <w:t xml:space="preserve">https://www.earth.columbia.edu/sitefiles/file/Sachs%20Writing/1997/RediffSpecial_1997_TheNeedforTaxReform_03_05_97.pdf</w:t>
        </w:r>
      </w:hyperlink>
      <w:r w:rsidDel="00000000" w:rsidR="00000000" w:rsidRPr="00000000">
        <w:rPr>
          <w:rtl w:val="0"/>
        </w:rPr>
      </w:r>
    </w:p>
    <w:p w:rsidR="00000000" w:rsidDel="00000000" w:rsidP="00000000" w:rsidRDefault="00000000" w:rsidRPr="00000000" w14:paraId="000000D1">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Reform, Resilience and Growth: Evolution of Indian Fiscal Policy from 1991 – 2024, accessed February 17, 2026, </w:t>
      </w:r>
      <w:hyperlink r:id="rId29">
        <w:r w:rsidDel="00000000" w:rsidR="00000000" w:rsidRPr="00000000">
          <w:rPr>
            <w:rFonts w:ascii="Google Sans" w:cs="Google Sans" w:eastAsia="Google Sans" w:hAnsi="Google Sans"/>
            <w:color w:val="0000ee"/>
            <w:sz w:val="24"/>
            <w:szCs w:val="24"/>
            <w:u w:val="single"/>
            <w:rtl w:val="0"/>
          </w:rPr>
          <w:t xml:space="preserve">https://chicagopolicyreview.org/2025/11/24/reform-resilience-and-growth-evolution-of-indian-fiscal-policy-from-1991-2024/</w:t>
        </w:r>
      </w:hyperlink>
      <w:r w:rsidDel="00000000" w:rsidR="00000000" w:rsidRPr="00000000">
        <w:rPr>
          <w:rtl w:val="0"/>
        </w:rPr>
      </w:r>
    </w:p>
    <w:p w:rsidR="00000000" w:rsidDel="00000000" w:rsidP="00000000" w:rsidRDefault="00000000" w:rsidRPr="00000000" w14:paraId="000000D2">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INDIA TRYING TO LIBERALISE: ECONOMIC REFORMS SINCE 1991, accessed February 17, 2026, </w:t>
      </w:r>
      <w:hyperlink r:id="rId30">
        <w:r w:rsidDel="00000000" w:rsidR="00000000" w:rsidRPr="00000000">
          <w:rPr>
            <w:rFonts w:ascii="Google Sans" w:cs="Google Sans" w:eastAsia="Google Sans" w:hAnsi="Google Sans"/>
            <w:color w:val="0000ee"/>
            <w:sz w:val="24"/>
            <w:szCs w:val="24"/>
            <w:u w:val="single"/>
            <w:rtl w:val="0"/>
          </w:rPr>
          <w:t xml:space="preserve">https://apcss.org/wp-content/uploads/2010/PDFs/Edited%20Volumes/RegionalFinal%20chapters/Chapter16Wadhva.pdf</w:t>
        </w:r>
      </w:hyperlink>
      <w:r w:rsidDel="00000000" w:rsidR="00000000" w:rsidRPr="00000000">
        <w:rPr>
          <w:rtl w:val="0"/>
        </w:rPr>
      </w:r>
    </w:p>
    <w:p w:rsidR="00000000" w:rsidDel="00000000" w:rsidP="00000000" w:rsidRDefault="00000000" w:rsidRPr="00000000" w14:paraId="000000D3">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India's economic reforms: Domestic resilience to reshape global standing | Lowy Institute, accessed February 17, 2026, </w:t>
      </w:r>
      <w:hyperlink r:id="rId31">
        <w:r w:rsidDel="00000000" w:rsidR="00000000" w:rsidRPr="00000000">
          <w:rPr>
            <w:rFonts w:ascii="Google Sans" w:cs="Google Sans" w:eastAsia="Google Sans" w:hAnsi="Google Sans"/>
            <w:color w:val="0000ee"/>
            <w:sz w:val="24"/>
            <w:szCs w:val="24"/>
            <w:u w:val="single"/>
            <w:rtl w:val="0"/>
          </w:rPr>
          <w:t xml:space="preserve">https://www.lowyinstitute.org/the-interpreter/india-s-economic-reforms-domestic-resilience-reshape-global-standing</w:t>
        </w:r>
      </w:hyperlink>
      <w:r w:rsidDel="00000000" w:rsidR="00000000" w:rsidRPr="00000000">
        <w:rPr>
          <w:rtl w:val="0"/>
        </w:rPr>
      </w:r>
    </w:p>
    <w:p w:rsidR="00000000" w:rsidDel="00000000" w:rsidP="00000000" w:rsidRDefault="00000000" w:rsidRPr="00000000" w14:paraId="000000D4">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India's Record Food grain Production in 2024-25 - Current Affairs Usthadian Academy, accessed February 17, 2026, </w:t>
      </w:r>
      <w:hyperlink r:id="rId32">
        <w:r w:rsidDel="00000000" w:rsidR="00000000" w:rsidRPr="00000000">
          <w:rPr>
            <w:rFonts w:ascii="Google Sans" w:cs="Google Sans" w:eastAsia="Google Sans" w:hAnsi="Google Sans"/>
            <w:color w:val="0000ee"/>
            <w:sz w:val="24"/>
            <w:szCs w:val="24"/>
            <w:u w:val="single"/>
            <w:rtl w:val="0"/>
          </w:rPr>
          <w:t xml:space="preserve">https://www.usthadian.com/indias-record-food-grain-production-in-2024-25/</w:t>
        </w:r>
      </w:hyperlink>
      <w:r w:rsidDel="00000000" w:rsidR="00000000" w:rsidRPr="00000000">
        <w:rPr>
          <w:rtl w:val="0"/>
        </w:rPr>
      </w:r>
    </w:p>
    <w:p w:rsidR="00000000" w:rsidDel="00000000" w:rsidP="00000000" w:rsidRDefault="00000000" w:rsidRPr="00000000" w14:paraId="000000D5">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Record foodgrain output breaks all previous highs, adding new chapters of success to India's agriculture sector - PIB, accessed February 17, 2026, </w:t>
      </w:r>
      <w:hyperlink r:id="rId33">
        <w:r w:rsidDel="00000000" w:rsidR="00000000" w:rsidRPr="00000000">
          <w:rPr>
            <w:rFonts w:ascii="Google Sans" w:cs="Google Sans" w:eastAsia="Google Sans" w:hAnsi="Google Sans"/>
            <w:color w:val="0000ee"/>
            <w:sz w:val="24"/>
            <w:szCs w:val="24"/>
            <w:u w:val="single"/>
            <w:rtl w:val="0"/>
          </w:rPr>
          <w:t xml:space="preserve">https://www.pib.gov.in/PressReleasePage.aspx?PRID=2192315</w:t>
        </w:r>
      </w:hyperlink>
      <w:r w:rsidDel="00000000" w:rsidR="00000000" w:rsidRPr="00000000">
        <w:rPr>
          <w:rtl w:val="0"/>
        </w:rPr>
      </w:r>
    </w:p>
    <w:p w:rsidR="00000000" w:rsidDel="00000000" w:rsidP="00000000" w:rsidRDefault="00000000" w:rsidRPr="00000000" w14:paraId="000000D6">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Indian Agriculture Sector, Farming in India - IBEF.org, accessed February 17, 2026, </w:t>
      </w:r>
      <w:hyperlink r:id="rId34">
        <w:r w:rsidDel="00000000" w:rsidR="00000000" w:rsidRPr="00000000">
          <w:rPr>
            <w:rFonts w:ascii="Google Sans" w:cs="Google Sans" w:eastAsia="Google Sans" w:hAnsi="Google Sans"/>
            <w:color w:val="0000ee"/>
            <w:sz w:val="24"/>
            <w:szCs w:val="24"/>
            <w:u w:val="single"/>
            <w:rtl w:val="0"/>
          </w:rPr>
          <w:t xml:space="preserve">https://www.ibef.org/industry/agriculture-india</w:t>
        </w:r>
      </w:hyperlink>
      <w:r w:rsidDel="00000000" w:rsidR="00000000" w:rsidRPr="00000000">
        <w:rPr>
          <w:rtl w:val="0"/>
        </w:rPr>
      </w:r>
    </w:p>
    <w:p w:rsidR="00000000" w:rsidDel="00000000" w:rsidP="00000000" w:rsidRDefault="00000000" w:rsidRPr="00000000" w14:paraId="000000D7">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India records highest foodgrain production increase in a decade - UkrAgroConsult, accessed February 17, 2026, </w:t>
      </w:r>
      <w:hyperlink r:id="rId35">
        <w:r w:rsidDel="00000000" w:rsidR="00000000" w:rsidRPr="00000000">
          <w:rPr>
            <w:rFonts w:ascii="Google Sans" w:cs="Google Sans" w:eastAsia="Google Sans" w:hAnsi="Google Sans"/>
            <w:color w:val="0000ee"/>
            <w:sz w:val="24"/>
            <w:szCs w:val="24"/>
            <w:u w:val="single"/>
            <w:rtl w:val="0"/>
          </w:rPr>
          <w:t xml:space="preserve">https://ukragroconsult.com/en/news/india-records-highest-foodgrain-production-increase-in-a-decade/</w:t>
        </w:r>
      </w:hyperlink>
      <w:r w:rsidDel="00000000" w:rsidR="00000000" w:rsidRPr="00000000">
        <w:rPr>
          <w:rtl w:val="0"/>
        </w:rPr>
      </w:r>
    </w:p>
    <w:p w:rsidR="00000000" w:rsidDel="00000000" w:rsidP="00000000" w:rsidRDefault="00000000" w:rsidRPr="00000000" w14:paraId="000000D8">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India Exports - Trading Economics, accessed February 17, 2026, </w:t>
      </w:r>
      <w:hyperlink r:id="rId36">
        <w:r w:rsidDel="00000000" w:rsidR="00000000" w:rsidRPr="00000000">
          <w:rPr>
            <w:rFonts w:ascii="Google Sans" w:cs="Google Sans" w:eastAsia="Google Sans" w:hAnsi="Google Sans"/>
            <w:color w:val="0000ee"/>
            <w:sz w:val="24"/>
            <w:szCs w:val="24"/>
            <w:u w:val="single"/>
            <w:rtl w:val="0"/>
          </w:rPr>
          <w:t xml:space="preserve">https://tradingeconomics.com/india/exports</w:t>
        </w:r>
      </w:hyperlink>
      <w:r w:rsidDel="00000000" w:rsidR="00000000" w:rsidRPr="00000000">
        <w:rPr>
          <w:rtl w:val="0"/>
        </w:rPr>
      </w:r>
    </w:p>
    <w:p w:rsidR="00000000" w:rsidDel="00000000" w:rsidP="00000000" w:rsidRDefault="00000000" w:rsidRPr="00000000" w14:paraId="000000D9">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India (IND) Exports, Imports, and Trade Partners | The Observatory of Economic Complexity, accessed February 17, 2026, </w:t>
      </w:r>
      <w:hyperlink r:id="rId37">
        <w:r w:rsidDel="00000000" w:rsidR="00000000" w:rsidRPr="00000000">
          <w:rPr>
            <w:rFonts w:ascii="Google Sans" w:cs="Google Sans" w:eastAsia="Google Sans" w:hAnsi="Google Sans"/>
            <w:color w:val="0000ee"/>
            <w:sz w:val="24"/>
            <w:szCs w:val="24"/>
            <w:u w:val="single"/>
            <w:rtl w:val="0"/>
          </w:rPr>
          <w:t xml:space="preserve">https://oec.world/en/profile/country/ind</w:t>
        </w:r>
      </w:hyperlink>
      <w:r w:rsidDel="00000000" w:rsidR="00000000" w:rsidRPr="00000000">
        <w:rPr>
          <w:rtl w:val="0"/>
        </w:rPr>
      </w:r>
    </w:p>
    <w:p w:rsidR="00000000" w:rsidDel="00000000" w:rsidP="00000000" w:rsidRDefault="00000000" w:rsidRPr="00000000" w14:paraId="000000DA">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India–US Trade 2025: Top Commodities, State-Level Export Trends, accessed February 17, 2026, </w:t>
      </w:r>
      <w:hyperlink r:id="rId38">
        <w:r w:rsidDel="00000000" w:rsidR="00000000" w:rsidRPr="00000000">
          <w:rPr>
            <w:rFonts w:ascii="Google Sans" w:cs="Google Sans" w:eastAsia="Google Sans" w:hAnsi="Google Sans"/>
            <w:color w:val="0000ee"/>
            <w:sz w:val="24"/>
            <w:szCs w:val="24"/>
            <w:u w:val="single"/>
            <w:rtl w:val="0"/>
          </w:rPr>
          <w:t xml:space="preserve">https://www.india-briefing.com/news/india-us-trade-data-state-wise-2025-40790.html/</w:t>
        </w:r>
      </w:hyperlink>
      <w:r w:rsidDel="00000000" w:rsidR="00000000" w:rsidRPr="00000000">
        <w:rPr>
          <w:rtl w:val="0"/>
        </w:rPr>
      </w:r>
    </w:p>
    <w:p w:rsidR="00000000" w:rsidDel="00000000" w:rsidP="00000000" w:rsidRDefault="00000000" w:rsidRPr="00000000" w14:paraId="000000DB">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List of largest trading partners of India - Wikipedia, accessed February 17, 2026, </w:t>
      </w:r>
      <w:hyperlink r:id="rId39">
        <w:r w:rsidDel="00000000" w:rsidR="00000000" w:rsidRPr="00000000">
          <w:rPr>
            <w:rFonts w:ascii="Google Sans" w:cs="Google Sans" w:eastAsia="Google Sans" w:hAnsi="Google Sans"/>
            <w:color w:val="0000ee"/>
            <w:sz w:val="24"/>
            <w:szCs w:val="24"/>
            <w:u w:val="single"/>
            <w:rtl w:val="0"/>
          </w:rPr>
          <w:t xml:space="preserve">https://en.wikipedia.org/wiki/List_of_largest_trading_partners_of_India</w:t>
        </w:r>
      </w:hyperlink>
      <w:r w:rsidDel="00000000" w:rsidR="00000000" w:rsidRPr="00000000">
        <w:rPr>
          <w:rtl w:val="0"/>
        </w:rPr>
      </w:r>
    </w:p>
    <w:p w:rsidR="00000000" w:rsidDel="00000000" w:rsidP="00000000" w:rsidRDefault="00000000" w:rsidRPr="00000000" w14:paraId="000000DC">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India–US Trade: Exports, Imports &amp; Bilateral Economic Relations - IBEF, accessed February 17, 2026, </w:t>
      </w:r>
      <w:hyperlink r:id="rId40">
        <w:r w:rsidDel="00000000" w:rsidR="00000000" w:rsidRPr="00000000">
          <w:rPr>
            <w:rFonts w:ascii="Google Sans" w:cs="Google Sans" w:eastAsia="Google Sans" w:hAnsi="Google Sans"/>
            <w:color w:val="0000ee"/>
            <w:sz w:val="24"/>
            <w:szCs w:val="24"/>
            <w:u w:val="single"/>
            <w:rtl w:val="0"/>
          </w:rPr>
          <w:t xml:space="preserve">https://www.ibef.org/indian-exports/india-us-trade</w:t>
        </w:r>
      </w:hyperlink>
      <w:r w:rsidDel="00000000" w:rsidR="00000000" w:rsidRPr="00000000">
        <w:rPr>
          <w:rtl w:val="0"/>
        </w:rPr>
      </w:r>
    </w:p>
    <w:p w:rsidR="00000000" w:rsidDel="00000000" w:rsidP="00000000" w:rsidRDefault="00000000" w:rsidRPr="00000000" w14:paraId="000000DD">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Difference between NITI Aayog and Planning Commission, Key Points - Vajiram &amp; Ravi, accessed February 17, 2026, </w:t>
      </w:r>
      <w:hyperlink r:id="rId41">
        <w:r w:rsidDel="00000000" w:rsidR="00000000" w:rsidRPr="00000000">
          <w:rPr>
            <w:rFonts w:ascii="Google Sans" w:cs="Google Sans" w:eastAsia="Google Sans" w:hAnsi="Google Sans"/>
            <w:color w:val="0000ee"/>
            <w:sz w:val="24"/>
            <w:szCs w:val="24"/>
            <w:u w:val="single"/>
            <w:rtl w:val="0"/>
          </w:rPr>
          <w:t xml:space="preserve">https://vajiramandravi.com/current-affairs/difference-between-niti-aayog-and-planning-commission/</w:t>
        </w:r>
      </w:hyperlink>
      <w:r w:rsidDel="00000000" w:rsidR="00000000" w:rsidRPr="00000000">
        <w:rPr>
          <w:rtl w:val="0"/>
        </w:rPr>
      </w:r>
    </w:p>
    <w:p w:rsidR="00000000" w:rsidDel="00000000" w:rsidP="00000000" w:rsidRDefault="00000000" w:rsidRPr="00000000" w14:paraId="000000DE">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NITI Aayog vs. Planning Commission: A Tale of Bias, Misdirection, and Missed Opportunities, accessed February 17, 2026, </w:t>
      </w:r>
      <w:hyperlink r:id="rId42">
        <w:r w:rsidDel="00000000" w:rsidR="00000000" w:rsidRPr="00000000">
          <w:rPr>
            <w:rFonts w:ascii="Google Sans" w:cs="Google Sans" w:eastAsia="Google Sans" w:hAnsi="Google Sans"/>
            <w:color w:val="0000ee"/>
            <w:sz w:val="24"/>
            <w:szCs w:val="24"/>
            <w:u w:val="single"/>
            <w:rtl w:val="0"/>
          </w:rPr>
          <w:t xml:space="preserve">https://medium.com/@therationalist/niti-aayog-vs-planning-commission-a-tale-of-bias-misdirection-and-missed-opportunities-3a8c1330a462</w:t>
        </w:r>
      </w:hyperlink>
      <w:r w:rsidDel="00000000" w:rsidR="00000000" w:rsidRPr="00000000">
        <w:rPr>
          <w:rtl w:val="0"/>
        </w:rPr>
      </w:r>
    </w:p>
    <w:p w:rsidR="00000000" w:rsidDel="00000000" w:rsidP="00000000" w:rsidRDefault="00000000" w:rsidRPr="00000000" w14:paraId="000000DF">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NITI Aayog - Wikipedia, accessed February 17, 2026, </w:t>
      </w:r>
      <w:hyperlink r:id="rId43">
        <w:r w:rsidDel="00000000" w:rsidR="00000000" w:rsidRPr="00000000">
          <w:rPr>
            <w:rFonts w:ascii="Google Sans" w:cs="Google Sans" w:eastAsia="Google Sans" w:hAnsi="Google Sans"/>
            <w:color w:val="0000ee"/>
            <w:sz w:val="24"/>
            <w:szCs w:val="24"/>
            <w:u w:val="single"/>
            <w:rtl w:val="0"/>
          </w:rPr>
          <w:t xml:space="preserve">https://en.wikipedia.org/wiki/NITI_Aayog</w:t>
        </w:r>
      </w:hyperlink>
      <w:r w:rsidDel="00000000" w:rsidR="00000000" w:rsidRPr="00000000">
        <w:rPr>
          <w:rtl w:val="0"/>
        </w:rPr>
      </w:r>
    </w:p>
    <w:p w:rsidR="00000000" w:rsidDel="00000000" w:rsidP="00000000" w:rsidRDefault="00000000" w:rsidRPr="00000000" w14:paraId="000000E0">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Monetary Policy Committee (MPC) - BYJU'S, accessed February 17, 2026, </w:t>
      </w:r>
      <w:hyperlink r:id="rId44">
        <w:r w:rsidDel="00000000" w:rsidR="00000000" w:rsidRPr="00000000">
          <w:rPr>
            <w:rFonts w:ascii="Google Sans" w:cs="Google Sans" w:eastAsia="Google Sans" w:hAnsi="Google Sans"/>
            <w:color w:val="0000ee"/>
            <w:sz w:val="24"/>
            <w:szCs w:val="24"/>
            <w:u w:val="single"/>
            <w:rtl w:val="0"/>
          </w:rPr>
          <w:t xml:space="preserve">https://byjus.com/free-ias-prep/monetary-policy-committee/</w:t>
        </w:r>
      </w:hyperlink>
      <w:r w:rsidDel="00000000" w:rsidR="00000000" w:rsidRPr="00000000">
        <w:rPr>
          <w:rtl w:val="0"/>
        </w:rPr>
      </w:r>
    </w:p>
    <w:p w:rsidR="00000000" w:rsidDel="00000000" w:rsidP="00000000" w:rsidRDefault="00000000" w:rsidRPr="00000000" w14:paraId="000000E1">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RBI and it's Monetary Policy - C4S Courses, accessed February 17, 2026, </w:t>
      </w:r>
      <w:hyperlink r:id="rId45">
        <w:r w:rsidDel="00000000" w:rsidR="00000000" w:rsidRPr="00000000">
          <w:rPr>
            <w:rFonts w:ascii="Google Sans" w:cs="Google Sans" w:eastAsia="Google Sans" w:hAnsi="Google Sans"/>
            <w:color w:val="0000ee"/>
            <w:sz w:val="24"/>
            <w:szCs w:val="24"/>
            <w:u w:val="single"/>
            <w:rtl w:val="0"/>
          </w:rPr>
          <w:t xml:space="preserve">https://c4scourses.in/banking-finance/rbi-and-its-monetary-policy/</w:t>
        </w:r>
      </w:hyperlink>
      <w:r w:rsidDel="00000000" w:rsidR="00000000" w:rsidRPr="00000000">
        <w:rPr>
          <w:rtl w:val="0"/>
        </w:rPr>
      </w:r>
    </w:p>
    <w:p w:rsidR="00000000" w:rsidDel="00000000" w:rsidP="00000000" w:rsidRDefault="00000000" w:rsidRPr="00000000" w14:paraId="000000E2">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Government notifies reconstitution of Monetary Policy Committee under the Reserve Bank of India Act, 1934 - PIB, accessed February 17, 2026, </w:t>
      </w:r>
      <w:hyperlink r:id="rId46">
        <w:r w:rsidDel="00000000" w:rsidR="00000000" w:rsidRPr="00000000">
          <w:rPr>
            <w:rFonts w:ascii="Google Sans" w:cs="Google Sans" w:eastAsia="Google Sans" w:hAnsi="Google Sans"/>
            <w:color w:val="0000ee"/>
            <w:sz w:val="24"/>
            <w:szCs w:val="24"/>
            <w:u w:val="single"/>
            <w:rtl w:val="0"/>
          </w:rPr>
          <w:t xml:space="preserve">https://www.pib.gov.in/PressReleseDetailm.aspx?PRID=2060887®=3&amp;lang=1</w:t>
        </w:r>
      </w:hyperlink>
      <w:r w:rsidDel="00000000" w:rsidR="00000000" w:rsidRPr="00000000">
        <w:rPr>
          <w:rtl w:val="0"/>
        </w:rPr>
      </w:r>
    </w:p>
    <w:p w:rsidR="00000000" w:rsidDel="00000000" w:rsidP="00000000" w:rsidRDefault="00000000" w:rsidRPr="00000000" w14:paraId="000000E3">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India - Bank for International Settlements, accessed February 17, 2026, </w:t>
      </w:r>
      <w:hyperlink r:id="rId47">
        <w:r w:rsidDel="00000000" w:rsidR="00000000" w:rsidRPr="00000000">
          <w:rPr>
            <w:rFonts w:ascii="Google Sans" w:cs="Google Sans" w:eastAsia="Google Sans" w:hAnsi="Google Sans"/>
            <w:color w:val="0000ee"/>
            <w:sz w:val="24"/>
            <w:szCs w:val="24"/>
            <w:u w:val="single"/>
            <w:rtl w:val="0"/>
          </w:rPr>
          <w:t xml:space="preserve">https://www.bis.org/mc/currency_areas/in.htm</w:t>
        </w:r>
      </w:hyperlink>
      <w:r w:rsidDel="00000000" w:rsidR="00000000" w:rsidRPr="00000000">
        <w:rPr>
          <w:rtl w:val="0"/>
        </w:rPr>
      </w:r>
    </w:p>
    <w:p w:rsidR="00000000" w:rsidDel="00000000" w:rsidP="00000000" w:rsidRDefault="00000000" w:rsidRPr="00000000" w14:paraId="000000E4">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Monetary Policy Committee (India) - Wikipedia, accessed February 17, 2026, </w:t>
      </w:r>
      <w:hyperlink r:id="rId48">
        <w:r w:rsidDel="00000000" w:rsidR="00000000" w:rsidRPr="00000000">
          <w:rPr>
            <w:rFonts w:ascii="Google Sans" w:cs="Google Sans" w:eastAsia="Google Sans" w:hAnsi="Google Sans"/>
            <w:color w:val="0000ee"/>
            <w:sz w:val="24"/>
            <w:szCs w:val="24"/>
            <w:u w:val="single"/>
            <w:rtl w:val="0"/>
          </w:rPr>
          <w:t xml:space="preserve">https://en.wikipedia.org/wiki/Monetary_Policy_Committee_(India)</w:t>
        </w:r>
      </w:hyperlink>
      <w:r w:rsidDel="00000000" w:rsidR="00000000" w:rsidRPr="00000000">
        <w:rPr>
          <w:rtl w:val="0"/>
        </w:rPr>
      </w:r>
    </w:p>
    <w:p w:rsidR="00000000" w:rsidDel="00000000" w:rsidP="00000000" w:rsidRDefault="00000000" w:rsidRPr="00000000" w14:paraId="000000E5">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Implications of Feb 2026 MPC - Canara Bank, accessed February 17, 2026, </w:t>
      </w:r>
      <w:hyperlink r:id="rId49">
        <w:r w:rsidDel="00000000" w:rsidR="00000000" w:rsidRPr="00000000">
          <w:rPr>
            <w:rFonts w:ascii="Google Sans" w:cs="Google Sans" w:eastAsia="Google Sans" w:hAnsi="Google Sans"/>
            <w:color w:val="0000ee"/>
            <w:sz w:val="24"/>
            <w:szCs w:val="24"/>
            <w:u w:val="single"/>
            <w:rtl w:val="0"/>
          </w:rPr>
          <w:t xml:space="preserve">https://www.canarabank.bank.in/documents/d/guest/rbi-mpc-implications-february-2026</w:t>
        </w:r>
      </w:hyperlink>
      <w:r w:rsidDel="00000000" w:rsidR="00000000" w:rsidRPr="00000000">
        <w:rPr>
          <w:rtl w:val="0"/>
        </w:rPr>
      </w:r>
    </w:p>
    <w:p w:rsidR="00000000" w:rsidDel="00000000" w:rsidP="00000000" w:rsidRDefault="00000000" w:rsidRPr="00000000" w14:paraId="000000E6">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Repo Rate and Reverse Repo Rate 2026 - Rustomjee, accessed February 17, 2026, </w:t>
      </w:r>
      <w:hyperlink r:id="rId50">
        <w:r w:rsidDel="00000000" w:rsidR="00000000" w:rsidRPr="00000000">
          <w:rPr>
            <w:rFonts w:ascii="Google Sans" w:cs="Google Sans" w:eastAsia="Google Sans" w:hAnsi="Google Sans"/>
            <w:color w:val="0000ee"/>
            <w:sz w:val="24"/>
            <w:szCs w:val="24"/>
            <w:u w:val="single"/>
            <w:rtl w:val="0"/>
          </w:rPr>
          <w:t xml:space="preserve">https://www.rustomjee.com/blog/repo-rate-and-reverse-repo-rate-2026/</w:t>
        </w:r>
      </w:hyperlink>
      <w:r w:rsidDel="00000000" w:rsidR="00000000" w:rsidRPr="00000000">
        <w:rPr>
          <w:rtl w:val="0"/>
        </w:rPr>
      </w:r>
    </w:p>
    <w:p w:rsidR="00000000" w:rsidDel="00000000" w:rsidP="00000000" w:rsidRDefault="00000000" w:rsidRPr="00000000" w14:paraId="000000E7">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RBI Monetary Policy 2026 - Latest Rate and Policy Update - BankBazaar, accessed February 17, 2026, </w:t>
      </w:r>
      <w:hyperlink r:id="rId51">
        <w:r w:rsidDel="00000000" w:rsidR="00000000" w:rsidRPr="00000000">
          <w:rPr>
            <w:rFonts w:ascii="Google Sans" w:cs="Google Sans" w:eastAsia="Google Sans" w:hAnsi="Google Sans"/>
            <w:color w:val="0000ee"/>
            <w:sz w:val="24"/>
            <w:szCs w:val="24"/>
            <w:u w:val="single"/>
            <w:rtl w:val="0"/>
          </w:rPr>
          <w:t xml:space="preserve">https://www.bankbazaar.com/finance-tools/emi-calculator/monetary-policy.html</w:t>
        </w:r>
      </w:hyperlink>
      <w:r w:rsidDel="00000000" w:rsidR="00000000" w:rsidRPr="00000000">
        <w:rPr>
          <w:rtl w:val="0"/>
        </w:rPr>
      </w:r>
    </w:p>
    <w:p w:rsidR="00000000" w:rsidDel="00000000" w:rsidP="00000000" w:rsidRDefault="00000000" w:rsidRPr="00000000" w14:paraId="000000E8">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NITI Aayog Capital Market and Securities Law Ministry of Corporate Affairs - ICSI, accessed February 17, 2026, </w:t>
      </w:r>
      <w:hyperlink r:id="rId52">
        <w:r w:rsidDel="00000000" w:rsidR="00000000" w:rsidRPr="00000000">
          <w:rPr>
            <w:rFonts w:ascii="Google Sans" w:cs="Google Sans" w:eastAsia="Google Sans" w:hAnsi="Google Sans"/>
            <w:color w:val="0000ee"/>
            <w:sz w:val="24"/>
            <w:szCs w:val="24"/>
            <w:u w:val="single"/>
            <w:rtl w:val="0"/>
          </w:rPr>
          <w:t xml:space="preserve">https://www.icsi.edu/media/webmodules/infocapsule/InfoCapsule_10022026.pdf</w:t>
        </w:r>
      </w:hyperlink>
      <w:r w:rsidDel="00000000" w:rsidR="00000000" w:rsidRPr="00000000">
        <w:rPr>
          <w:rtl w:val="0"/>
        </w:rPr>
      </w:r>
    </w:p>
    <w:p w:rsidR="00000000" w:rsidDel="00000000" w:rsidP="00000000" w:rsidRDefault="00000000" w:rsidRPr="00000000" w14:paraId="000000E9">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Financial Institutions - RBI, accessed February 17, 2026, </w:t>
      </w:r>
      <w:hyperlink r:id="rId53">
        <w:r w:rsidDel="00000000" w:rsidR="00000000" w:rsidRPr="00000000">
          <w:rPr>
            <w:rFonts w:ascii="Google Sans" w:cs="Google Sans" w:eastAsia="Google Sans" w:hAnsi="Google Sans"/>
            <w:color w:val="0000ee"/>
            <w:sz w:val="24"/>
            <w:szCs w:val="24"/>
            <w:u w:val="single"/>
            <w:rtl w:val="0"/>
          </w:rPr>
          <w:t xml:space="preserve">https://rbi.org.in/upload/Publications/PDFs/58849.pdf</w:t>
        </w:r>
      </w:hyperlink>
      <w:r w:rsidDel="00000000" w:rsidR="00000000" w:rsidRPr="00000000">
        <w:rPr>
          <w:rtl w:val="0"/>
        </w:rPr>
      </w:r>
    </w:p>
    <w:p w:rsidR="00000000" w:rsidDel="00000000" w:rsidP="00000000" w:rsidRDefault="00000000" w:rsidRPr="00000000" w14:paraId="000000EA">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Small Industries Development Bank of India - Wikipedia, accessed February 17, 2026, </w:t>
      </w:r>
      <w:hyperlink r:id="rId54">
        <w:r w:rsidDel="00000000" w:rsidR="00000000" w:rsidRPr="00000000">
          <w:rPr>
            <w:rFonts w:ascii="Google Sans" w:cs="Google Sans" w:eastAsia="Google Sans" w:hAnsi="Google Sans"/>
            <w:color w:val="0000ee"/>
            <w:sz w:val="24"/>
            <w:szCs w:val="24"/>
            <w:u w:val="single"/>
            <w:rtl w:val="0"/>
          </w:rPr>
          <w:t xml:space="preserve">https://en.wikipedia.org/wiki/Small_Industries_Development_Bank_of_India</w:t>
        </w:r>
      </w:hyperlink>
      <w:r w:rsidDel="00000000" w:rsidR="00000000" w:rsidRPr="00000000">
        <w:rPr>
          <w:rtl w:val="0"/>
        </w:rPr>
      </w:r>
    </w:p>
    <w:p w:rsidR="00000000" w:rsidDel="00000000" w:rsidP="00000000" w:rsidRDefault="00000000" w:rsidRPr="00000000" w14:paraId="000000EB">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About SIDBI - Small Industries Development Bank of India, accessed February 17, 2026, </w:t>
      </w:r>
      <w:hyperlink r:id="rId55">
        <w:r w:rsidDel="00000000" w:rsidR="00000000" w:rsidRPr="00000000">
          <w:rPr>
            <w:rFonts w:ascii="Google Sans" w:cs="Google Sans" w:eastAsia="Google Sans" w:hAnsi="Google Sans"/>
            <w:color w:val="0000ee"/>
            <w:sz w:val="24"/>
            <w:szCs w:val="24"/>
            <w:u w:val="single"/>
            <w:rtl w:val="0"/>
          </w:rPr>
          <w:t xml:space="preserve">https://www.sidbi.in/about</w:t>
        </w:r>
      </w:hyperlink>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oogle Sans Tex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4">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5">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ibef.org/indian-exports/india-us-trade" TargetMode="External"/><Relationship Id="rId42" Type="http://schemas.openxmlformats.org/officeDocument/2006/relationships/hyperlink" Target="https://medium.com/@therationalist/niti-aayog-vs-planning-commission-a-tale-of-bias-misdirection-and-missed-opportunities-3a8c1330a462" TargetMode="External"/><Relationship Id="rId41" Type="http://schemas.openxmlformats.org/officeDocument/2006/relationships/hyperlink" Target="https://vajiramandravi.com/current-affairs/difference-between-niti-aayog-and-planning-commission/" TargetMode="External"/><Relationship Id="rId44" Type="http://schemas.openxmlformats.org/officeDocument/2006/relationships/hyperlink" Target="https://byjus.com/free-ias-prep/monetary-policy-committee/" TargetMode="External"/><Relationship Id="rId43" Type="http://schemas.openxmlformats.org/officeDocument/2006/relationships/hyperlink" Target="https://en.wikipedia.org/wiki/NITI_Aayog" TargetMode="External"/><Relationship Id="rId46" Type="http://schemas.openxmlformats.org/officeDocument/2006/relationships/hyperlink" Target="https://www.pib.gov.in/PressReleseDetailm.aspx?PRID=2060887&amp;reg=3&amp;lang=1" TargetMode="External"/><Relationship Id="rId45" Type="http://schemas.openxmlformats.org/officeDocument/2006/relationships/hyperlink" Target="https://c4scourses.in/banking-finance/rbi-and-its-monetary-policy/"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axis.bank.in/docs/default-source/default-document-library/highlights-of-union-budget-2026-27.pdf?sfvrsn=bf82c409_3" TargetMode="External"/><Relationship Id="rId48" Type="http://schemas.openxmlformats.org/officeDocument/2006/relationships/hyperlink" Target="https://en.wikipedia.org/wiki/Monetary_Policy_Committee_(India)" TargetMode="External"/><Relationship Id="rId47" Type="http://schemas.openxmlformats.org/officeDocument/2006/relationships/hyperlink" Target="https://www.bis.org/mc/currency_areas/in.htm" TargetMode="External"/><Relationship Id="rId49" Type="http://schemas.openxmlformats.org/officeDocument/2006/relationships/hyperlink" Target="https://www.canarabank.bank.in/documents/d/guest/rbi-mpc-implications-february-2026" TargetMode="External"/><Relationship Id="rId5" Type="http://schemas.openxmlformats.org/officeDocument/2006/relationships/styles" Target="styles.xml"/><Relationship Id="rId6" Type="http://schemas.openxmlformats.org/officeDocument/2006/relationships/hyperlink" Target="https://sahi.com/blogs/rbi-mpc-february-2026-repo-rate-held-at-5-25-as-rbi-prioritises-stability-over-fresh-easing" TargetMode="External"/><Relationship Id="rId7" Type="http://schemas.openxmlformats.org/officeDocument/2006/relationships/hyperlink" Target="https://www.ey.com/content/dam/ey-unified-site/ey-com/en-in/services/tax/union-budget-2026/ey-union-budget-2026-27-highlights.pdf" TargetMode="External"/><Relationship Id="rId8" Type="http://schemas.openxmlformats.org/officeDocument/2006/relationships/hyperlink" Target="https://www.pib.gov.in/PressReleasePage.aspx?PRID=2221455&amp;reg=3&amp;lang=1" TargetMode="External"/><Relationship Id="rId31" Type="http://schemas.openxmlformats.org/officeDocument/2006/relationships/hyperlink" Target="https://www.lowyinstitute.org/the-interpreter/india-s-economic-reforms-domestic-resilience-reshape-global-standing" TargetMode="External"/><Relationship Id="rId30" Type="http://schemas.openxmlformats.org/officeDocument/2006/relationships/hyperlink" Target="https://apcss.org/wp-content/uploads/2010/PDFs/Edited%20Volumes/RegionalFinal%20chapters/Chapter16Wadhva.pdf" TargetMode="External"/><Relationship Id="rId33" Type="http://schemas.openxmlformats.org/officeDocument/2006/relationships/hyperlink" Target="https://www.pib.gov.in/PressReleasePage.aspx?PRID=2192315" TargetMode="External"/><Relationship Id="rId32" Type="http://schemas.openxmlformats.org/officeDocument/2006/relationships/hyperlink" Target="https://www.usthadian.com/indias-record-food-grain-production-in-2024-25/" TargetMode="External"/><Relationship Id="rId35" Type="http://schemas.openxmlformats.org/officeDocument/2006/relationships/hyperlink" Target="https://ukragroconsult.com/en/news/india-records-highest-foodgrain-production-increase-in-a-decade/" TargetMode="External"/><Relationship Id="rId34" Type="http://schemas.openxmlformats.org/officeDocument/2006/relationships/hyperlink" Target="https://www.ibef.org/industry/agriculture-india" TargetMode="External"/><Relationship Id="rId37" Type="http://schemas.openxmlformats.org/officeDocument/2006/relationships/hyperlink" Target="https://oec.world/en/profile/country/ind" TargetMode="External"/><Relationship Id="rId36" Type="http://schemas.openxmlformats.org/officeDocument/2006/relationships/hyperlink" Target="https://tradingeconomics.com/india/exports" TargetMode="External"/><Relationship Id="rId39" Type="http://schemas.openxmlformats.org/officeDocument/2006/relationships/hyperlink" Target="https://en.wikipedia.org/wiki/List_of_largest_trading_partners_of_India" TargetMode="External"/><Relationship Id="rId38" Type="http://schemas.openxmlformats.org/officeDocument/2006/relationships/hyperlink" Target="https://www.india-briefing.com/news/india-us-trade-data-state-wise-2025-40790.html/" TargetMode="External"/><Relationship Id="rId20" Type="http://schemas.openxmlformats.org/officeDocument/2006/relationships/hyperlink" Target="https://mlsu.ac.in/econtents/2369_Economic%20Policy-1991-converted.pdf" TargetMode="External"/><Relationship Id="rId22" Type="http://schemas.openxmlformats.org/officeDocument/2006/relationships/hyperlink" Target="https://www.hks.harvard.edu/sites/default/files/centers/cid/files/publications/faculty-working-papers/89.pdf" TargetMode="External"/><Relationship Id="rId21" Type="http://schemas.openxmlformats.org/officeDocument/2006/relationships/hyperlink" Target="https://en.wikipedia.org/wiki/1991_Indian_economic_crisis" TargetMode="External"/><Relationship Id="rId24" Type="http://schemas.openxmlformats.org/officeDocument/2006/relationships/hyperlink" Target="https://www.scribd.com/doc/66968519/Narasimham-Committee-Recommendations-1991" TargetMode="External"/><Relationship Id="rId23" Type="http://schemas.openxmlformats.org/officeDocument/2006/relationships/hyperlink" Target="https://en.wikipedia.org/wiki/Narasimham_Committee" TargetMode="External"/><Relationship Id="rId26" Type="http://schemas.openxmlformats.org/officeDocument/2006/relationships/hyperlink" Target="https://testbook.com/articles/father-of-taxation" TargetMode="External"/><Relationship Id="rId25" Type="http://schemas.openxmlformats.org/officeDocument/2006/relationships/hyperlink" Target="https://vajiramandravi.com/current-affairs/narasimham-committee/" TargetMode="External"/><Relationship Id="rId28" Type="http://schemas.openxmlformats.org/officeDocument/2006/relationships/hyperlink" Target="https://www.earth.columbia.edu/sitefiles/file/Sachs%20Writing/1997/RediffSpecial_1997_TheNeedforTaxReform_03_05_97.pdf" TargetMode="External"/><Relationship Id="rId27" Type="http://schemas.openxmlformats.org/officeDocument/2006/relationships/hyperlink" Target="https://the1991project.com/sites/default/files/2023-07/1993%20Raja%20Cheliah%20Tax%20Reforms%20Committee%20Report.pdf" TargetMode="External"/><Relationship Id="rId29" Type="http://schemas.openxmlformats.org/officeDocument/2006/relationships/hyperlink" Target="https://chicagopolicyreview.org/2025/11/24/reform-resilience-and-growth-evolution-of-indian-fiscal-policy-from-1991-2024/" TargetMode="External"/><Relationship Id="rId51" Type="http://schemas.openxmlformats.org/officeDocument/2006/relationships/hyperlink" Target="https://www.bankbazaar.com/finance-tools/emi-calculator/monetary-policy.html" TargetMode="External"/><Relationship Id="rId50" Type="http://schemas.openxmlformats.org/officeDocument/2006/relationships/hyperlink" Target="https://www.rustomjee.com/blog/repo-rate-and-reverse-repo-rate-2026/" TargetMode="External"/><Relationship Id="rId53" Type="http://schemas.openxmlformats.org/officeDocument/2006/relationships/hyperlink" Target="https://rbi.org.in/upload/Publications/PDFs/58849.pdf" TargetMode="External"/><Relationship Id="rId52" Type="http://schemas.openxmlformats.org/officeDocument/2006/relationships/hyperlink" Target="https://www.icsi.edu/media/webmodules/infocapsule/InfoCapsule_10022026.pdf" TargetMode="External"/><Relationship Id="rId11" Type="http://schemas.openxmlformats.org/officeDocument/2006/relationships/hyperlink" Target="https://www.indiabudget.gov.in/doc/bh1.pdf" TargetMode="External"/><Relationship Id="rId55" Type="http://schemas.openxmlformats.org/officeDocument/2006/relationships/hyperlink" Target="https://www.sidbi.in/about" TargetMode="External"/><Relationship Id="rId10" Type="http://schemas.openxmlformats.org/officeDocument/2006/relationships/hyperlink" Target="https://prsindia.org/files/budget/budget_parliament/2026/Union_Budget_Analysis-2026-27.pdf" TargetMode="External"/><Relationship Id="rId54" Type="http://schemas.openxmlformats.org/officeDocument/2006/relationships/hyperlink" Target="https://en.wikipedia.org/wiki/Small_Industries_Development_Bank_of_India" TargetMode="External"/><Relationship Id="rId13" Type="http://schemas.openxmlformats.org/officeDocument/2006/relationships/hyperlink" Target="https://www.pib.gov.in/PressReleasePage.aspx?PRID=2220800" TargetMode="External"/><Relationship Id="rId12" Type="http://schemas.openxmlformats.org/officeDocument/2006/relationships/hyperlink" Target="https://www.pib.gov.in/PressReleasePage.aspx?PRID=2221389" TargetMode="External"/><Relationship Id="rId15" Type="http://schemas.openxmlformats.org/officeDocument/2006/relationships/hyperlink" Target="https://www.marketexpress.in/2026/01/indias-fiscal-stress-2026-decoding-nominal-gdp-tax-trends.html" TargetMode="External"/><Relationship Id="rId14" Type="http://schemas.openxmlformats.org/officeDocument/2006/relationships/hyperlink" Target="https://www.drishtiias.com/daily-updates/daily-news-analysis/economic-survey-2025-26" TargetMode="External"/><Relationship Id="rId17" Type="http://schemas.openxmlformats.org/officeDocument/2006/relationships/hyperlink" Target="https://www.ibef.org/economy/economic-survey-2025-26" TargetMode="External"/><Relationship Id="rId16" Type="http://schemas.openxmlformats.org/officeDocument/2006/relationships/hyperlink" Target="https://a2ztaxcorp.net/important-key-highlights-of-economic-survey-2025-26/" TargetMode="External"/><Relationship Id="rId19" Type="http://schemas.openxmlformats.org/officeDocument/2006/relationships/hyperlink" Target="https://www.wrightresearch.in/blog/will-indias-fiscal-drag-end-in-2026-2027/" TargetMode="External"/><Relationship Id="rId18" Type="http://schemas.openxmlformats.org/officeDocument/2006/relationships/hyperlink" Target="https://www.pib.gov.in/PressReleasePage.aspx?PRID=2219907"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 Id="rId5" Type="http://schemas.openxmlformats.org/officeDocument/2006/relationships/font" Target="fonts/GoogleSansText-regular.ttf"/><Relationship Id="rId6" Type="http://schemas.openxmlformats.org/officeDocument/2006/relationships/font" Target="fonts/GoogleSansText-bold.ttf"/><Relationship Id="rId7" Type="http://schemas.openxmlformats.org/officeDocument/2006/relationships/font" Target="fonts/GoogleSansText-italic.ttf"/><Relationship Id="rId8"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