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Master Timeline of the Indian Economy: A Comprehensive Analytical Framework (1857-2025)</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structural evolution of the Indian economy represents a profound historical and macroeconomic transition. Spanning from its systemic exploitation as a colonial holding to its contemporary status as one of the fastest-growing major global economies, this trajectory encompasses radical shifts in public policy, industrial strategy, agricultural paradigms, and fiscal frameworks. This comprehensive research report constructs an exhaustive master timeline and analytical review of the Indian economy, tailored to the advanced theoretical and applied concepts intrinsic to postgraduate economic studies.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analysis strictly traverses the chronological and thematic boundaries from the colonial precursor (1857–1947), through the socialist-inspired central planning era (1951–1990), into the structural macroeconomic liberalisation phase (1991–2020), and culminates in a highly detailed examination of the contemporary economic landscape (2021–2025). Concurrently, it integrates core theoretical constructs of public economics, taxation, and international trade to contextualize India's policy decisions.</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 Economy and State in the Imperial Context (1857–1947)</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An accurate understanding of modern Indian economic policy requires a rigorous analysis of the colonial economic structure that precipitated it. The British colonial era was characterized by the deliberate structural subordination of the Indian economy to the imperial requirements of Great Britain. India functioned primarily as a captive supplier of raw materials (such as indigo, cotton, and opium) and a lucrative market for British manufactured goods, effectively stunting indigenous capital formation.</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Macro Trends: National Income and Occupational Structure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During the colonial administration, the imperial government deliberately avoided systematically tracking national income or per capita output, as such metrics would likely expose the severe impoverishment of the subcontinent.</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 Consequently, the earliest estimates were formulated by individual nationalist economists and statisticians utilizing varying methodologies.</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occupational structure during the colonial period exhibited a perilous lack of structural transformation. The workforce was overwhelmingly concentrated in the primary sector, with agriculture absorbing approximately 75% of the population.</w:t>
      </w:r>
      <w:r w:rsidDel="00000000" w:rsidR="00000000" w:rsidRPr="00000000">
        <w:rPr>
          <w:rFonts w:ascii="Google Sans Text" w:cs="Google Sans Text" w:eastAsia="Google Sans Text" w:hAnsi="Google Sans Text"/>
          <w:color w:val="444746"/>
          <w:sz w:val="24"/>
          <w:szCs w:val="24"/>
          <w:vertAlign w:val="superscript"/>
          <w:rtl w:val="0"/>
        </w:rPr>
        <w:t xml:space="preserve">4</w:t>
      </w:r>
      <w:r w:rsidDel="00000000" w:rsidR="00000000" w:rsidRPr="00000000">
        <w:rPr>
          <w:rFonts w:ascii="Google Sans Text" w:cs="Google Sans Text" w:eastAsia="Google Sans Text" w:hAnsi="Google Sans Text"/>
          <w:color w:val="1f1f1f"/>
          <w:rtl w:val="0"/>
        </w:rPr>
        <w:t xml:space="preserve"> The manufacturing sector accounted for a stagnant 9% to 10%, while the services sector hovered between 15% and 20%.</w:t>
      </w:r>
      <w:r w:rsidDel="00000000" w:rsidR="00000000" w:rsidRPr="00000000">
        <w:rPr>
          <w:rFonts w:ascii="Google Sans Text" w:cs="Google Sans Text" w:eastAsia="Google Sans Text" w:hAnsi="Google Sans Text"/>
          <w:color w:val="444746"/>
          <w:sz w:val="24"/>
          <w:szCs w:val="24"/>
          <w:vertAlign w:val="superscript"/>
          <w:rtl w:val="0"/>
        </w:rPr>
        <w:t xml:space="preserve">4</w:t>
      </w:r>
      <w:r w:rsidDel="00000000" w:rsidR="00000000" w:rsidRPr="00000000">
        <w:rPr>
          <w:rFonts w:ascii="Google Sans Text" w:cs="Google Sans Text" w:eastAsia="Google Sans Text" w:hAnsi="Google Sans Text"/>
          <w:color w:val="1f1f1f"/>
          <w:rtl w:val="0"/>
        </w:rPr>
        <w:t xml:space="preserve"> This rigid occupational distribution, combined with population growth fueled by declining mortality rates in the early 20th century, led to an overburdening of the agricultural sector and near-zero per capita income growth in the final decades of colonial rule.</w:t>
      </w:r>
      <w:r w:rsidDel="00000000" w:rsidR="00000000" w:rsidRPr="00000000">
        <w:rPr>
          <w:rFonts w:ascii="Google Sans Text" w:cs="Google Sans Text" w:eastAsia="Google Sans Text" w:hAnsi="Google Sans Text"/>
          <w:color w:val="444746"/>
          <w:sz w:val="24"/>
          <w:szCs w:val="24"/>
          <w:vertAlign w:val="superscript"/>
          <w:rtl w:val="0"/>
        </w:rPr>
        <w:t xml:space="preserve">6</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Estimator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Period Addressed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Methodological Framework and Key Findings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Dadabhai Naoroji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1867–68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Pioneered national income estimation to mathematically substantiate the "Drain of Wealth" theory. Estimated total value of agricultural output and added a minimal non-agricultural margin. Calculated per capita income at a mere ₹20 per annum.</w:t>
            </w:r>
            <w:r w:rsidDel="00000000" w:rsidR="00000000" w:rsidRPr="00000000">
              <w:rPr>
                <w:rFonts w:ascii="Google Sans Text" w:cs="Google Sans Text" w:eastAsia="Google Sans Text" w:hAnsi="Google Sans Text"/>
                <w:color w:val="444746"/>
                <w:sz w:val="24"/>
                <w:szCs w:val="24"/>
                <w:vertAlign w:val="superscript"/>
                <w:rtl w:val="0"/>
              </w:rPr>
              <w:t xml:space="preserve">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William Digby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1899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Utilised indirect economic indicators to highlight the stark poverty and systemic extraction under British rule, calculating an annual drainage of wealth at £30 million.</w:t>
            </w:r>
            <w:r w:rsidDel="00000000" w:rsidR="00000000" w:rsidRPr="00000000">
              <w:rPr>
                <w:rFonts w:ascii="Google Sans Text" w:cs="Google Sans Text" w:eastAsia="Google Sans Text" w:hAnsi="Google Sans Text"/>
                <w:color w:val="444746"/>
                <w:sz w:val="24"/>
                <w:szCs w:val="24"/>
                <w:vertAlign w:val="superscript"/>
                <w:rtl w:val="0"/>
              </w:rPr>
              <w:t xml:space="preserve">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Findlay Shirras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1911, 1922, 1931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Represented official/bureaucratic estimates relying heavily on gross agricultural production data, often attempting to project higher per capita income to counter nationalist critiques.</w:t>
            </w:r>
            <w:r w:rsidDel="00000000" w:rsidR="00000000" w:rsidRPr="00000000">
              <w:rPr>
                <w:rFonts w:ascii="Google Sans Text" w:cs="Google Sans Text" w:eastAsia="Google Sans Text" w:hAnsi="Google Sans Text"/>
                <w:color w:val="444746"/>
                <w:sz w:val="24"/>
                <w:szCs w:val="24"/>
                <w:vertAlign w:val="superscript"/>
                <w:rtl w:val="0"/>
              </w:rPr>
              <w:t xml:space="preserve">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V.K.R.V. Rao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1925–29, 1931–32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Executed the first scientifically rigorous estimation by combining the census of output method (for agriculture) and the census of income method (for the corporate/service sectors).</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shd w:fill="auto" w:val="clear"/>
                <w:rtl w:val="0"/>
              </w:rPr>
              <w:t xml:space="preserve"> Demonstrated a stagnant real output growth of 2% and per capita output growth of just 0.5%.</w:t>
            </w:r>
            <w:r w:rsidDel="00000000" w:rsidR="00000000" w:rsidRPr="00000000">
              <w:rPr>
                <w:rFonts w:ascii="Google Sans Text" w:cs="Google Sans Text" w:eastAsia="Google Sans Text" w:hAnsi="Google Sans Text"/>
                <w:color w:val="444746"/>
                <w:sz w:val="24"/>
                <w:szCs w:val="24"/>
                <w:vertAlign w:val="superscript"/>
                <w:rtl w:val="0"/>
              </w:rPr>
              <w:t xml:space="preserve">11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R.C. Desai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1931–1940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Focused his econometric analysis on consumer expenditure, pioneering the conceptualization of the standard of living, which highlighted severely suppressed domestic consumption.</w:t>
            </w:r>
            <w:r w:rsidDel="00000000" w:rsidR="00000000" w:rsidRPr="00000000">
              <w:rPr>
                <w:rFonts w:ascii="Google Sans Text" w:cs="Google Sans Text" w:eastAsia="Google Sans Text" w:hAnsi="Google Sans Text"/>
                <w:color w:val="444746"/>
                <w:sz w:val="24"/>
                <w:szCs w:val="24"/>
                <w:vertAlign w:val="superscript"/>
                <w:rtl w:val="0"/>
              </w:rPr>
              <w:t xml:space="preserve">3</w:t>
            </w:r>
          </w:p>
        </w:tc>
      </w:tr>
    </w:tbl>
    <w:p w:rsidR="00000000" w:rsidDel="00000000" w:rsidP="00000000" w:rsidRDefault="00000000" w:rsidRPr="00000000" w14:paraId="0000001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De-industrialisation Debate</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decline of traditional Indian handicrafts, particularly the globally renowned cotton and silk textiles, remains a subject of intense historiographical and economic debate. The core contention revolves around whether the destruction of Indian artisanal industries was a deliberate result of colonial policy or a natural consequence of global technological advancement.</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Nationalist and Marxist perspective, championed by figures like R.C. Dutt and later empirically supported by Amiya Kumar Bagchi, posits that British policies deliberately dismantled Indian manufacturing. Bagchi utilized detailed employment statistics from 1809 to 1901 in Gangetic Bihar to demonstrate absolute de-industrialisation. He showed that the proportion of the population engaged in industrial spinning and weaving collapsed from 62.3% to 15.1%.</w:t>
      </w:r>
      <w:r w:rsidDel="00000000" w:rsidR="00000000" w:rsidRPr="00000000">
        <w:rPr>
          <w:rFonts w:ascii="Google Sans Text" w:cs="Google Sans Text" w:eastAsia="Google Sans Text" w:hAnsi="Google Sans Text"/>
          <w:color w:val="444746"/>
          <w:sz w:val="24"/>
          <w:szCs w:val="24"/>
          <w:vertAlign w:val="superscript"/>
          <w:rtl w:val="0"/>
        </w:rPr>
        <w:t xml:space="preserve">13</w:t>
      </w:r>
      <w:r w:rsidDel="00000000" w:rsidR="00000000" w:rsidRPr="00000000">
        <w:rPr>
          <w:rFonts w:ascii="Google Sans Text" w:cs="Google Sans Text" w:eastAsia="Google Sans Text" w:hAnsi="Google Sans Text"/>
          <w:color w:val="1f1f1f"/>
          <w:rtl w:val="0"/>
        </w:rPr>
        <w:t xml:space="preserve"> This structural decay forced skilled artisans into the agrarian sector, rendering agriculture the only alternative means of livelihood, which consequently created a massive, impoverished class of landless rural laborers.</w:t>
      </w:r>
      <w:r w:rsidDel="00000000" w:rsidR="00000000" w:rsidRPr="00000000">
        <w:rPr>
          <w:rFonts w:ascii="Google Sans Text" w:cs="Google Sans Text" w:eastAsia="Google Sans Text" w:hAnsi="Google Sans Text"/>
          <w:color w:val="444746"/>
          <w:sz w:val="24"/>
          <w:szCs w:val="24"/>
          <w:vertAlign w:val="superscript"/>
          <w:rtl w:val="0"/>
        </w:rPr>
        <w:t xml:space="preserve">13</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Conversely, the Western Revisionist perspective, notably articulated by Morris D. Morris in the 1960s, controversially argued that de-industrialisation was largely a "myth".</w:t>
      </w:r>
      <w:r w:rsidDel="00000000" w:rsidR="00000000" w:rsidRPr="00000000">
        <w:rPr>
          <w:rFonts w:ascii="Google Sans Text" w:cs="Google Sans Text" w:eastAsia="Google Sans Text" w:hAnsi="Google Sans Text"/>
          <w:color w:val="444746"/>
          <w:sz w:val="24"/>
          <w:szCs w:val="24"/>
          <w:vertAlign w:val="superscript"/>
          <w:rtl w:val="0"/>
        </w:rPr>
        <w:t xml:space="preserve">13</w:t>
      </w:r>
      <w:r w:rsidDel="00000000" w:rsidR="00000000" w:rsidRPr="00000000">
        <w:rPr>
          <w:rFonts w:ascii="Google Sans Text" w:cs="Google Sans Text" w:eastAsia="Google Sans Text" w:hAnsi="Google Sans Text"/>
          <w:color w:val="1f1f1f"/>
          <w:rtl w:val="0"/>
        </w:rPr>
        <w:t xml:space="preserve"> Morris hypothesized that the influx of cheap, machine-made British yarn actually benefited Indian handloom weavers by significantly lowering their input costs. Furthermore, he argued that overall domestic demand for cloth expanded due to population growth, which allowed the absolute number of artisans to remain stable, even if their market share declined.</w:t>
      </w:r>
      <w:r w:rsidDel="00000000" w:rsidR="00000000" w:rsidRPr="00000000">
        <w:rPr>
          <w:rFonts w:ascii="Google Sans Text" w:cs="Google Sans Text" w:eastAsia="Google Sans Text" w:hAnsi="Google Sans Text"/>
          <w:color w:val="444746"/>
          <w:sz w:val="24"/>
          <w:szCs w:val="24"/>
          <w:vertAlign w:val="superscript"/>
          <w:rtl w:val="0"/>
        </w:rPr>
        <w:t xml:space="preserve">14</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Modern economic historians, such as Tirthankar Roy, offer a synthesis of these extremes. They acknowledge that while long-run de-industrialisation certainly occurred in terms of employment share—with the industry workforce share falling from roughly 18% in 1800 to around 10% in 1900—there was a simultaneous, albeit slow, rise in manufacturing output in the late 19th and early 20th centuries due to the eventual introduction of mechanized factories in Bombay and Calcutta.</w:t>
      </w:r>
      <w:r w:rsidDel="00000000" w:rsidR="00000000" w:rsidRPr="00000000">
        <w:rPr>
          <w:rFonts w:ascii="Google Sans Text" w:cs="Google Sans Text" w:eastAsia="Google Sans Text" w:hAnsi="Google Sans Text"/>
          <w:color w:val="444746"/>
          <w:sz w:val="24"/>
          <w:szCs w:val="24"/>
          <w:vertAlign w:val="superscript"/>
          <w:rtl w:val="0"/>
        </w:rPr>
        <w:t xml:space="preserve">14</w:t>
      </w:r>
    </w:p>
    <w:p w:rsidR="00000000" w:rsidDel="00000000" w:rsidP="00000000" w:rsidRDefault="00000000" w:rsidRPr="00000000" w14:paraId="0000002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Drain of Wealth Theory</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Formulated primarily by Dadabhai Naoroji in his seminal 1901 work </w:t>
      </w:r>
      <w:r w:rsidDel="00000000" w:rsidR="00000000" w:rsidRPr="00000000">
        <w:rPr>
          <w:rFonts w:ascii="Google Sans Text" w:cs="Google Sans Text" w:eastAsia="Google Sans Text" w:hAnsi="Google Sans Text"/>
          <w:i w:val="1"/>
          <w:iCs w:val="1"/>
          <w:color w:val="1f1f1f"/>
          <w:rtl w:val="0"/>
        </w:rPr>
        <w:t xml:space="preserve">Poverty and Un-British Rule in India</w:t>
      </w:r>
      <w:r w:rsidDel="00000000" w:rsidR="00000000" w:rsidRPr="00000000">
        <w:rPr>
          <w:rFonts w:ascii="Google Sans Text" w:cs="Google Sans Text" w:eastAsia="Google Sans Text" w:hAnsi="Google Sans Text"/>
          <w:color w:val="1f1f1f"/>
          <w:rtl w:val="0"/>
        </w:rPr>
        <w:t xml:space="preserve">, and expanded by R.C. Dutt and M.G. Ranade, the Drain of Wealth theory quantified the unilateral transfer of resources from India to Britain without any equivalent economic return.</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Fonts w:ascii="Google Sans Text" w:cs="Google Sans Text" w:eastAsia="Google Sans Text" w:hAnsi="Google Sans Text"/>
          <w:color w:val="1f1f1f"/>
          <w:rtl w:val="0"/>
        </w:rPr>
        <w:t xml:space="preserve"> This constant hemorrhaging of surplus capital fundamentally choked domestic investment, stultified capital formation, and institutionalized poverty.</w:t>
      </w:r>
      <w:r w:rsidDel="00000000" w:rsidR="00000000" w:rsidRPr="00000000">
        <w:rPr>
          <w:rFonts w:ascii="Google Sans Text" w:cs="Google Sans Text" w:eastAsia="Google Sans Text" w:hAnsi="Google Sans Text"/>
          <w:color w:val="444746"/>
          <w:sz w:val="24"/>
          <w:szCs w:val="24"/>
          <w:vertAlign w:val="superscript"/>
          <w:rtl w:val="0"/>
        </w:rPr>
        <w:t xml:space="preserve">8</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drain operated through highly sophisticated financial, trade, and administrative mechanisms:</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Home Charges:</w:t>
      </w:r>
      <w:r w:rsidDel="00000000" w:rsidR="00000000" w:rsidRPr="00000000">
        <w:rPr>
          <w:rFonts w:ascii="Google Sans Text" w:cs="Google Sans Text" w:eastAsia="Google Sans Text" w:hAnsi="Google Sans Text"/>
          <w:color w:val="1f1f1f"/>
          <w:rtl w:val="0"/>
        </w:rPr>
        <w:t xml:space="preserve"> These were obligatory expenses incurred in England by the Secretary of State on behalf of India. They included the guaranteed (and often inflated) interest on railway debt, pensions and furloughs for British civil and military personnel, the costs of maintaining the India Office in London, and the financing of British colonial wars abroad using Indian revenues. By 1921-22, Home Charges consumed a staggering 40% of the Central Government's total revenue.</w:t>
      </w:r>
      <w:r w:rsidDel="00000000" w:rsidR="00000000" w:rsidRPr="00000000">
        <w:rPr>
          <w:rFonts w:ascii="Google Sans Text" w:cs="Google Sans Text" w:eastAsia="Google Sans Text" w:hAnsi="Google Sans Text"/>
          <w:color w:val="444746"/>
          <w:sz w:val="24"/>
          <w:szCs w:val="24"/>
          <w:vertAlign w:val="superscript"/>
          <w:rtl w:val="0"/>
        </w:rPr>
        <w:t xml:space="preserve">8</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Council Bills:</w:t>
      </w:r>
      <w:r w:rsidDel="00000000" w:rsidR="00000000" w:rsidRPr="00000000">
        <w:rPr>
          <w:rFonts w:ascii="Google Sans Text" w:cs="Google Sans Text" w:eastAsia="Google Sans Text" w:hAnsi="Google Sans Text"/>
          <w:color w:val="1f1f1f"/>
          <w:rtl w:val="0"/>
        </w:rPr>
        <w:t xml:space="preserve"> This financial instrument was the most insidious mechanism of the drain, effectively converting Indian tax revenue into British export profits. The Secretary of State in London sold "Council Bills" to British merchants who required rupees to purchase Indian goods. The merchants paid for these bills in pounds sterling, which remained in London to cover the Home Charges. The merchants then presented these bills in India to receive rupees drawn directly from the Indian government's tax revenues. These rupees were then used to buy Indian exports.</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Fonts w:ascii="Google Sans Text" w:cs="Google Sans Text" w:eastAsia="Google Sans Text" w:hAnsi="Google Sans Text"/>
          <w:color w:val="1f1f1f"/>
          <w:rtl w:val="0"/>
        </w:rPr>
        <w:t xml:space="preserve"> This loop ensured that India's massive export surplus was effectively expropriated without any corresponding influx of foreign exchange or bullion.</w:t>
      </w:r>
      <w:r w:rsidDel="00000000" w:rsidR="00000000" w:rsidRPr="00000000">
        <w:rPr>
          <w:rFonts w:ascii="Google Sans Text" w:cs="Google Sans Text" w:eastAsia="Google Sans Text" w:hAnsi="Google Sans Text"/>
          <w:color w:val="444746"/>
          <w:sz w:val="24"/>
          <w:szCs w:val="24"/>
          <w:vertAlign w:val="superscript"/>
          <w:rtl w:val="0"/>
        </w:rPr>
        <w:t xml:space="preserve">18</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Income Deflation:</w:t>
      </w:r>
      <w:r w:rsidDel="00000000" w:rsidR="00000000" w:rsidRPr="00000000">
        <w:rPr>
          <w:rFonts w:ascii="Google Sans Text" w:cs="Google Sans Text" w:eastAsia="Google Sans Text" w:hAnsi="Google Sans Text"/>
          <w:color w:val="1f1f1f"/>
          <w:rtl w:val="0"/>
        </w:rPr>
        <w:t xml:space="preserve"> To force the export of agricultural commodities, the colonial state imposed high land revenues, acting as a mechanism of income deflation. This reduced the producers' consumption of basic staple food grains, forcing them to sell their crops to meet tax demands, which facilitated the export of food grains even during periods of domestic famine.</w:t>
      </w:r>
      <w:r w:rsidDel="00000000" w:rsidR="00000000" w:rsidRPr="00000000">
        <w:rPr>
          <w:rFonts w:ascii="Google Sans Text" w:cs="Google Sans Text" w:eastAsia="Google Sans Text" w:hAnsi="Google Sans Text"/>
          <w:color w:val="444746"/>
          <w:sz w:val="24"/>
          <w:szCs w:val="24"/>
          <w:vertAlign w:val="superscript"/>
          <w:rtl w:val="0"/>
        </w:rPr>
        <w:t xml:space="preserve">18</w:t>
      </w:r>
    </w:p>
    <w:p w:rsidR="00000000" w:rsidDel="00000000" w:rsidP="00000000" w:rsidRDefault="00000000" w:rsidRPr="00000000" w14:paraId="00000027">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Interwar Industrialization and the Managing Agency System</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interwar period (1914–1939) provided a brief but critical window of opportunity for indigenous capitalists. The disruption of global shipping and European supply chains during World War I, combined with the colonial state's reluctant implementation of "discriminating protection" (tariffs) to secure its own revenues, allowed Indian entrepreneurs to accumulate capital.</w:t>
      </w:r>
      <w:r w:rsidDel="00000000" w:rsidR="00000000" w:rsidRPr="00000000">
        <w:rPr>
          <w:rFonts w:ascii="Google Sans Text" w:cs="Google Sans Text" w:eastAsia="Google Sans Text" w:hAnsi="Google Sans Text"/>
          <w:color w:val="444746"/>
          <w:sz w:val="24"/>
          <w:szCs w:val="24"/>
          <w:vertAlign w:val="superscript"/>
          <w:rtl w:val="0"/>
        </w:rPr>
        <w:t xml:space="preserve">21</w:t>
      </w:r>
      <w:r w:rsidDel="00000000" w:rsidR="00000000" w:rsidRPr="00000000">
        <w:rPr>
          <w:rFonts w:ascii="Google Sans Text" w:cs="Google Sans Text" w:eastAsia="Google Sans Text" w:hAnsi="Google Sans Text"/>
          <w:color w:val="1f1f1f"/>
          <w:rtl w:val="0"/>
        </w:rPr>
        <w:t xml:space="preserve"> Business families, originally rooted in trade and moneylending, began to diversify rapidly away from simple cotton textiles into heavy industries, sugar, paper, and cement.</w:t>
      </w:r>
      <w:r w:rsidDel="00000000" w:rsidR="00000000" w:rsidRPr="00000000">
        <w:rPr>
          <w:rFonts w:ascii="Google Sans Text" w:cs="Google Sans Text" w:eastAsia="Google Sans Text" w:hAnsi="Google Sans Text"/>
          <w:color w:val="444746"/>
          <w:sz w:val="24"/>
          <w:szCs w:val="24"/>
          <w:vertAlign w:val="superscript"/>
          <w:rtl w:val="0"/>
        </w:rPr>
        <w:t xml:space="preserve">21</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Corporate governance during this era, however, was heavily distorted by the </w:t>
      </w:r>
      <w:r w:rsidDel="00000000" w:rsidR="00000000" w:rsidRPr="00000000">
        <w:rPr>
          <w:rFonts w:ascii="Google Sans Text" w:cs="Google Sans Text" w:eastAsia="Google Sans Text" w:hAnsi="Google Sans Text"/>
          <w:b w:val="1"/>
          <w:bCs w:val="1"/>
          <w:color w:val="1f1f1f"/>
          <w:rtl w:val="0"/>
        </w:rPr>
        <w:t xml:space="preserve">Managing Agency System</w:t>
      </w:r>
      <w:r w:rsidDel="00000000" w:rsidR="00000000" w:rsidRPr="00000000">
        <w:rPr>
          <w:rFonts w:ascii="Google Sans Text" w:cs="Google Sans Text" w:eastAsia="Google Sans Text" w:hAnsi="Google Sans Text"/>
          <w:color w:val="1f1f1f"/>
          <w:rtl w:val="0"/>
        </w:rPr>
        <w:t xml:space="preserve">. Initially created in the 19th century by British mercantile houses to overcome the shortage of entrepreneurial ability and venture capital in India, this system involved a single partnership firm (the managing agent) controlling the boards of directors and daily operations of multiple joint-stock companies.</w:t>
      </w:r>
      <w:r w:rsidDel="00000000" w:rsidR="00000000" w:rsidRPr="00000000">
        <w:rPr>
          <w:rFonts w:ascii="Google Sans Text" w:cs="Google Sans Text" w:eastAsia="Google Sans Text" w:hAnsi="Google Sans Text"/>
          <w:color w:val="444746"/>
          <w:sz w:val="24"/>
          <w:szCs w:val="24"/>
          <w:vertAlign w:val="superscript"/>
          <w:rtl w:val="0"/>
        </w:rPr>
        <w:t xml:space="preserve">23</w:t>
      </w:r>
      <w:r w:rsidDel="00000000" w:rsidR="00000000" w:rsidRPr="00000000">
        <w:rPr>
          <w:rFonts w:ascii="Google Sans Text" w:cs="Google Sans Text" w:eastAsia="Google Sans Text" w:hAnsi="Google Sans Text"/>
          <w:color w:val="1f1f1f"/>
          <w:rtl w:val="0"/>
        </w:rPr>
        <w:t xml:space="preserve"> While it facilitated initial capital pooling, cross-financing, and economies of scale in the early stages of industrialization, it eventually became a mechanism for severe corporate abuse.</w:t>
      </w:r>
      <w:r w:rsidDel="00000000" w:rsidR="00000000" w:rsidRPr="00000000">
        <w:rPr>
          <w:rFonts w:ascii="Google Sans Text" w:cs="Google Sans Text" w:eastAsia="Google Sans Text" w:hAnsi="Google Sans Text"/>
          <w:color w:val="444746"/>
          <w:sz w:val="24"/>
          <w:szCs w:val="24"/>
          <w:vertAlign w:val="superscript"/>
          <w:rtl w:val="0"/>
        </w:rPr>
        <w:t xml:space="preserve">25</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Managing agents routinely engaged in tunneling—siphoning off surplus funds from publicly traded companies into their own private traditional banking (</w:t>
      </w:r>
      <w:r w:rsidDel="00000000" w:rsidR="00000000" w:rsidRPr="00000000">
        <w:rPr>
          <w:rFonts w:ascii="Google Sans Text" w:cs="Google Sans Text" w:eastAsia="Google Sans Text" w:hAnsi="Google Sans Text"/>
          <w:i w:val="1"/>
          <w:iCs w:val="1"/>
          <w:color w:val="1f1f1f"/>
          <w:rtl w:val="0"/>
        </w:rPr>
        <w:t xml:space="preserve">hundi</w:t>
      </w:r>
      <w:r w:rsidDel="00000000" w:rsidR="00000000" w:rsidRPr="00000000">
        <w:rPr>
          <w:rFonts w:ascii="Google Sans Text" w:cs="Google Sans Text" w:eastAsia="Google Sans Text" w:hAnsi="Google Sans Text"/>
          <w:color w:val="1f1f1f"/>
          <w:rtl w:val="0"/>
        </w:rPr>
        <w:t xml:space="preserve">) networks.</w:t>
      </w:r>
      <w:r w:rsidDel="00000000" w:rsidR="00000000" w:rsidRPr="00000000">
        <w:rPr>
          <w:rFonts w:ascii="Google Sans Text" w:cs="Google Sans Text" w:eastAsia="Google Sans Text" w:hAnsi="Google Sans Text"/>
          <w:color w:val="444746"/>
          <w:sz w:val="24"/>
          <w:szCs w:val="24"/>
          <w:vertAlign w:val="superscript"/>
          <w:rtl w:val="0"/>
        </w:rPr>
        <w:t xml:space="preserve">26</w:t>
      </w:r>
      <w:r w:rsidDel="00000000" w:rsidR="00000000" w:rsidRPr="00000000">
        <w:rPr>
          <w:rFonts w:ascii="Google Sans Text" w:cs="Google Sans Text" w:eastAsia="Google Sans Text" w:hAnsi="Google Sans Text"/>
          <w:color w:val="1f1f1f"/>
          <w:rtl w:val="0"/>
        </w:rPr>
        <w:t xml:space="preserve"> They prioritized their fixed commissions over shareholder dividends and operated highly opaque financial structures. Although Indian business conglomerates (like the Tatas and Birlas) adapted this system to scale their operations, its systemic abuses led to strict regulatory curbs post-independence and its ultimate legislative abolition in 1970.</w:t>
      </w:r>
      <w:r w:rsidDel="00000000" w:rsidR="00000000" w:rsidRPr="00000000">
        <w:rPr>
          <w:rFonts w:ascii="Google Sans Text" w:cs="Google Sans Text" w:eastAsia="Google Sans Text" w:hAnsi="Google Sans Text"/>
          <w:color w:val="444746"/>
          <w:sz w:val="24"/>
          <w:szCs w:val="24"/>
          <w:vertAlign w:val="superscript"/>
          <w:rtl w:val="0"/>
        </w:rPr>
        <w:t xml:space="preserve">23</w:t>
      </w:r>
    </w:p>
    <w:p w:rsidR="00000000" w:rsidDel="00000000" w:rsidP="00000000" w:rsidRDefault="00000000" w:rsidRPr="00000000" w14:paraId="0000002B">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II. The Era of Centralised Economic Planning (1951–2017)</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Following independence in 1947, the newly sovereign state inherited a deeply fractured economy. The macroeconomic baseline was dire: extreme poverty afflicted 70–80% of the population, the literacy rate was approximately 18%, life expectancy hovered around 32 years, and the nominal GDP stood at a mere ₹2.7 lakh crore.</w:t>
      </w:r>
      <w:r w:rsidDel="00000000" w:rsidR="00000000" w:rsidRPr="00000000">
        <w:rPr>
          <w:rFonts w:ascii="Google Sans Text" w:cs="Google Sans Text" w:eastAsia="Google Sans Text" w:hAnsi="Google Sans Text"/>
          <w:color w:val="444746"/>
          <w:sz w:val="24"/>
          <w:szCs w:val="24"/>
          <w:vertAlign w:val="superscript"/>
          <w:rtl w:val="0"/>
        </w:rPr>
        <w:t xml:space="preserve">28</w:t>
      </w:r>
      <w:r w:rsidDel="00000000" w:rsidR="00000000" w:rsidRPr="00000000">
        <w:rPr>
          <w:rFonts w:ascii="Google Sans Text" w:cs="Google Sans Text" w:eastAsia="Google Sans Text" w:hAnsi="Google Sans Text"/>
          <w:color w:val="1f1f1f"/>
          <w:rtl w:val="0"/>
        </w:rPr>
        <w:t xml:space="preserve"> Influenced heavily by the Soviet model and the pre-independence 'Bombay Plan', Prime Minister Jawaharlal Nehru's government opted for a state-led, mixed economy model.</w:t>
      </w:r>
      <w:r w:rsidDel="00000000" w:rsidR="00000000" w:rsidRPr="00000000">
        <w:rPr>
          <w:rFonts w:ascii="Google Sans Text" w:cs="Google Sans Text" w:eastAsia="Google Sans Text" w:hAnsi="Google Sans Text"/>
          <w:color w:val="444746"/>
          <w:sz w:val="24"/>
          <w:szCs w:val="24"/>
          <w:vertAlign w:val="superscript"/>
          <w:rtl w:val="0"/>
        </w:rPr>
        <w:t xml:space="preserve">29</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To orchestrate this, the Planning Commission was established in 1950 to formulate and execute centralized, integrated national economic programs in the form of Five-Year Plans (FYPs).</w:t>
      </w:r>
      <w:r w:rsidDel="00000000" w:rsidR="00000000" w:rsidRPr="00000000">
        <w:rPr>
          <w:rFonts w:ascii="Google Sans Text" w:cs="Google Sans Text" w:eastAsia="Google Sans Text" w:hAnsi="Google Sans Text"/>
          <w:color w:val="444746"/>
          <w:sz w:val="24"/>
          <w:szCs w:val="24"/>
          <w:vertAlign w:val="superscript"/>
          <w:rtl w:val="0"/>
        </w:rPr>
        <w:t xml:space="preserve">30</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Plan / Period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Underlying Macroeconomic Model &amp; Primary Objective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Key Milestones, Achievements, and Failures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First Plan (1951–56)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shd w:fill="auto" w:val="clear"/>
                <w:rtl w:val="0"/>
              </w:rPr>
              <w:t xml:space="preserve">Harrod-Domar Model:</w:t>
            </w:r>
            <w:r w:rsidDel="00000000" w:rsidR="00000000" w:rsidRPr="00000000">
              <w:rPr>
                <w:rFonts w:ascii="Google Sans Text" w:cs="Google Sans Text" w:eastAsia="Google Sans Text" w:hAnsi="Google Sans Text"/>
                <w:color w:val="1f1f1f"/>
                <w:shd w:fill="auto" w:val="clear"/>
                <w:rtl w:val="0"/>
              </w:rPr>
              <w:t xml:space="preserve"> Stressed capital formation through higher savings and investment. Focused heavily on agricultural development, irrigation, and refugee rehabilitation.</w:t>
            </w:r>
            <w:r w:rsidDel="00000000" w:rsidR="00000000" w:rsidRPr="00000000">
              <w:rPr>
                <w:rFonts w:ascii="Google Sans Text" w:cs="Google Sans Text" w:eastAsia="Google Sans Text" w:hAnsi="Google Sans Text"/>
                <w:color w:val="444746"/>
                <w:sz w:val="24"/>
                <w:szCs w:val="24"/>
                <w:vertAlign w:val="superscript"/>
                <w:rtl w:val="0"/>
              </w:rPr>
              <w:t xml:space="preserve">29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Highly successful. Achieved a 3.6% growth rate against a 2.1% target. Initiated massive multipurpose river valley projects (Bhakra-Nangal, Hirakud) and established the first five IITs.</w:t>
            </w:r>
            <w:r w:rsidDel="00000000" w:rsidR="00000000" w:rsidRPr="00000000">
              <w:rPr>
                <w:rFonts w:ascii="Google Sans Text" w:cs="Google Sans Text" w:eastAsia="Google Sans Text" w:hAnsi="Google Sans Text"/>
                <w:color w:val="444746"/>
                <w:sz w:val="24"/>
                <w:szCs w:val="24"/>
                <w:vertAlign w:val="superscript"/>
                <w:rtl w:val="0"/>
              </w:rPr>
              <w:t xml:space="preserve">29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Second Plan (1956–61)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shd w:fill="auto" w:val="clear"/>
                <w:rtl w:val="0"/>
              </w:rPr>
              <w:t xml:space="preserve">Nehru-Mahalanobis Model:</w:t>
            </w:r>
            <w:r w:rsidDel="00000000" w:rsidR="00000000" w:rsidRPr="00000000">
              <w:rPr>
                <w:rFonts w:ascii="Google Sans Text" w:cs="Google Sans Text" w:eastAsia="Google Sans Text" w:hAnsi="Google Sans Text"/>
                <w:color w:val="1f1f1f"/>
                <w:shd w:fill="auto" w:val="clear"/>
                <w:rtl w:val="0"/>
              </w:rPr>
              <w:t xml:space="preserve"> A two/four-sector model prioritizing long-term industrial capacity (capital goods) over short-term consumer goods. Focused on rapid, state-led heavy industrialisation.</w:t>
            </w:r>
            <w:r w:rsidDel="00000000" w:rsidR="00000000" w:rsidRPr="00000000">
              <w:rPr>
                <w:rFonts w:ascii="Google Sans Text" w:cs="Google Sans Text" w:eastAsia="Google Sans Text" w:hAnsi="Google Sans Text"/>
                <w:color w:val="444746"/>
                <w:sz w:val="24"/>
                <w:szCs w:val="24"/>
                <w:vertAlign w:val="superscript"/>
                <w:rtl w:val="0"/>
              </w:rPr>
              <w:t xml:space="preserve">29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Achieved 4.3% growth (target 4.5%). Established massive public sector steel plants at Bhilai, Durgapur, and Rourkela.</w:t>
            </w:r>
            <w:r w:rsidDel="00000000" w:rsidR="00000000" w:rsidRPr="00000000">
              <w:rPr>
                <w:rFonts w:ascii="Google Sans Text" w:cs="Google Sans Text" w:eastAsia="Google Sans Text" w:hAnsi="Google Sans Text"/>
                <w:color w:val="444746"/>
                <w:sz w:val="24"/>
                <w:szCs w:val="24"/>
                <w:vertAlign w:val="superscript"/>
                <w:rtl w:val="0"/>
              </w:rPr>
              <w:t xml:space="preserve">29</w:t>
            </w:r>
            <w:r w:rsidDel="00000000" w:rsidR="00000000" w:rsidRPr="00000000">
              <w:rPr>
                <w:rFonts w:ascii="Google Sans Text" w:cs="Google Sans Text" w:eastAsia="Google Sans Text" w:hAnsi="Google Sans Text"/>
                <w:color w:val="1f1f1f"/>
                <w:shd w:fill="auto" w:val="clear"/>
                <w:rtl w:val="0"/>
              </w:rPr>
              <w:t xml:space="preserve"> However, heavy import substitution led to severe foreign exchange depletion and inflation.</w:t>
            </w:r>
            <w:r w:rsidDel="00000000" w:rsidR="00000000" w:rsidRPr="00000000">
              <w:rPr>
                <w:rFonts w:ascii="Google Sans Text" w:cs="Google Sans Text" w:eastAsia="Google Sans Text" w:hAnsi="Google Sans Text"/>
                <w:color w:val="444746"/>
                <w:sz w:val="24"/>
                <w:szCs w:val="24"/>
                <w:vertAlign w:val="superscript"/>
                <w:rtl w:val="0"/>
              </w:rPr>
              <w:t xml:space="preserve">32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Third Plan (1961–66)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Aimed at establishing a 'self-reliant' and 'self-generating' economy, shifting some focus back to agriculture to support industry.</w:t>
            </w:r>
            <w:r w:rsidDel="00000000" w:rsidR="00000000" w:rsidRPr="00000000">
              <w:rPr>
                <w:rFonts w:ascii="Google Sans Text" w:cs="Google Sans Text" w:eastAsia="Google Sans Text" w:hAnsi="Google Sans Text"/>
                <w:color w:val="444746"/>
                <w:sz w:val="24"/>
                <w:szCs w:val="24"/>
                <w:vertAlign w:val="superscript"/>
                <w:rtl w:val="0"/>
              </w:rPr>
              <w:t xml:space="preserve">32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Considered a severe failure (2.8% growth vs 5.6% target). Derailed by exogenous shocks: the Sino-Indian War (1962), the Indo-Pak War (1965), and catastrophic droughts.</w:t>
            </w:r>
            <w:r w:rsidDel="00000000" w:rsidR="00000000" w:rsidRPr="00000000">
              <w:rPr>
                <w:rFonts w:ascii="Google Sans Text" w:cs="Google Sans Text" w:eastAsia="Google Sans Text" w:hAnsi="Google Sans Text"/>
                <w:color w:val="444746"/>
                <w:sz w:val="24"/>
                <w:szCs w:val="24"/>
                <w:vertAlign w:val="superscript"/>
                <w:rtl w:val="0"/>
              </w:rPr>
              <w:t xml:space="preserve">32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Plan Holidays (1966–69)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Three annual plans executed as a crisis management strategy.</w:t>
            </w:r>
            <w:r w:rsidDel="00000000" w:rsidR="00000000" w:rsidRPr="00000000">
              <w:rPr>
                <w:rFonts w:ascii="Google Sans Text" w:cs="Google Sans Text" w:eastAsia="Google Sans Text" w:hAnsi="Google Sans Text"/>
                <w:color w:val="444746"/>
                <w:sz w:val="24"/>
                <w:szCs w:val="24"/>
                <w:vertAlign w:val="superscript"/>
                <w:rtl w:val="0"/>
              </w:rPr>
              <w:t xml:space="preserve">29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Forced a strategic pivot in agriculture, leading to the implementation of the High-Yielding Varieties (HYV) program, marking the dawn of the Green Revolution.</w:t>
            </w:r>
            <w:r w:rsidDel="00000000" w:rsidR="00000000" w:rsidRPr="00000000">
              <w:rPr>
                <w:rFonts w:ascii="Google Sans Text" w:cs="Google Sans Text" w:eastAsia="Google Sans Text" w:hAnsi="Google Sans Text"/>
                <w:color w:val="444746"/>
                <w:sz w:val="24"/>
                <w:szCs w:val="24"/>
                <w:vertAlign w:val="superscript"/>
                <w:rtl w:val="0"/>
              </w:rPr>
              <w:t xml:space="preserve">34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Fourth Plan (1969–74)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Focused on "growth with stability" and progressive self-reliance.</w:t>
            </w:r>
            <w:r w:rsidDel="00000000" w:rsidR="00000000" w:rsidRPr="00000000">
              <w:rPr>
                <w:rFonts w:ascii="Google Sans Text" w:cs="Google Sans Text" w:eastAsia="Google Sans Text" w:hAnsi="Google Sans Text"/>
                <w:color w:val="444746"/>
                <w:sz w:val="24"/>
                <w:szCs w:val="24"/>
                <w:vertAlign w:val="superscript"/>
                <w:rtl w:val="0"/>
              </w:rPr>
              <w:t xml:space="preserve">34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Marred by high inflation, the 1971 Indo-Pak war, and the 1973 global oil shock. Witnessed the landmark nationalization of 14 major commercial banks in 1969.</w:t>
            </w:r>
            <w:r w:rsidDel="00000000" w:rsidR="00000000" w:rsidRPr="00000000">
              <w:rPr>
                <w:rFonts w:ascii="Google Sans Text" w:cs="Google Sans Text" w:eastAsia="Google Sans Text" w:hAnsi="Google Sans Text"/>
                <w:color w:val="444746"/>
                <w:sz w:val="24"/>
                <w:szCs w:val="24"/>
                <w:vertAlign w:val="superscript"/>
                <w:rtl w:val="0"/>
              </w:rPr>
              <w:t xml:space="preserve">34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Fifth Plan (1974–78)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Centered on poverty eradication (</w:t>
            </w:r>
            <w:r w:rsidDel="00000000" w:rsidR="00000000" w:rsidRPr="00000000">
              <w:rPr>
                <w:rFonts w:ascii="Google Sans Text" w:cs="Google Sans Text" w:eastAsia="Google Sans Text" w:hAnsi="Google Sans Text"/>
                <w:i w:val="1"/>
                <w:iCs w:val="1"/>
                <w:color w:val="1f1f1f"/>
                <w:shd w:fill="auto" w:val="clear"/>
                <w:rtl w:val="0"/>
              </w:rPr>
              <w:t xml:space="preserve">Garibi Hatao</w:t>
            </w:r>
            <w:r w:rsidDel="00000000" w:rsidR="00000000" w:rsidRPr="00000000">
              <w:rPr>
                <w:rFonts w:ascii="Google Sans Text" w:cs="Google Sans Text" w:eastAsia="Google Sans Text" w:hAnsi="Google Sans Text"/>
                <w:color w:val="1f1f1f"/>
                <w:shd w:fill="auto" w:val="clear"/>
                <w:rtl w:val="0"/>
              </w:rPr>
              <w:t xml:space="preserve">) and self-reliance.</w:t>
            </w:r>
            <w:r w:rsidDel="00000000" w:rsidR="00000000" w:rsidRPr="00000000">
              <w:rPr>
                <w:rFonts w:ascii="Google Sans Text" w:cs="Google Sans Text" w:eastAsia="Google Sans Text" w:hAnsi="Google Sans Text"/>
                <w:color w:val="444746"/>
                <w:sz w:val="24"/>
                <w:szCs w:val="24"/>
                <w:vertAlign w:val="superscript"/>
                <w:rtl w:val="0"/>
              </w:rPr>
              <w:t xml:space="preserve">32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Introduced the Minimum Needs Programme. Terminated a year early by the incoming Janata Government due to political instability and high inflation.</w:t>
            </w:r>
            <w:r w:rsidDel="00000000" w:rsidR="00000000" w:rsidRPr="00000000">
              <w:rPr>
                <w:rFonts w:ascii="Google Sans Text" w:cs="Google Sans Text" w:eastAsia="Google Sans Text" w:hAnsi="Google Sans Text"/>
                <w:color w:val="444746"/>
                <w:sz w:val="24"/>
                <w:szCs w:val="24"/>
                <w:vertAlign w:val="superscript"/>
                <w:rtl w:val="0"/>
              </w:rPr>
              <w:t xml:space="preserve">31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Sixth Plan (1980–85)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Direct attack on poverty through structured employment and asset-creation schemes (IRDP, NREP, TRYSEM).</w:t>
            </w:r>
            <w:r w:rsidDel="00000000" w:rsidR="00000000" w:rsidRPr="00000000">
              <w:rPr>
                <w:rFonts w:ascii="Google Sans Text" w:cs="Google Sans Text" w:eastAsia="Google Sans Text" w:hAnsi="Google Sans Text"/>
                <w:color w:val="444746"/>
                <w:sz w:val="24"/>
                <w:szCs w:val="24"/>
                <w:vertAlign w:val="superscript"/>
                <w:rtl w:val="0"/>
              </w:rPr>
              <w:t xml:space="preserve">32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Achieved robust 5.7% growth. Marked the beginning of a subtle shift toward technological modernization and economic expansion.</w:t>
            </w:r>
            <w:r w:rsidDel="00000000" w:rsidR="00000000" w:rsidRPr="00000000">
              <w:rPr>
                <w:rFonts w:ascii="Google Sans Text" w:cs="Google Sans Text" w:eastAsia="Google Sans Text" w:hAnsi="Google Sans Text"/>
                <w:color w:val="444746"/>
                <w:sz w:val="24"/>
                <w:szCs w:val="24"/>
                <w:vertAlign w:val="superscript"/>
                <w:rtl w:val="0"/>
              </w:rPr>
              <w:t xml:space="preserve">32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Eighth Plan (1992–97)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Human development and structural integration with the global economy.</w:t>
            </w:r>
            <w:r w:rsidDel="00000000" w:rsidR="00000000" w:rsidRPr="00000000">
              <w:rPr>
                <w:rFonts w:ascii="Google Sans Text" w:cs="Google Sans Text" w:eastAsia="Google Sans Text" w:hAnsi="Google Sans Text"/>
                <w:color w:val="444746"/>
                <w:sz w:val="24"/>
                <w:szCs w:val="24"/>
                <w:vertAlign w:val="superscript"/>
                <w:rtl w:val="0"/>
              </w:rPr>
              <w:t xml:space="preserve">32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Executed immediately after the 1991 BoP crisis under the New Economic Policy. Achieved an unprecedented 6.8% growth rate, driven by liberalization.</w:t>
            </w:r>
            <w:r w:rsidDel="00000000" w:rsidR="00000000" w:rsidRPr="00000000">
              <w:rPr>
                <w:rFonts w:ascii="Google Sans Text" w:cs="Google Sans Text" w:eastAsia="Google Sans Text" w:hAnsi="Google Sans Text"/>
                <w:color w:val="444746"/>
                <w:sz w:val="24"/>
                <w:szCs w:val="24"/>
                <w:vertAlign w:val="superscript"/>
                <w:rtl w:val="0"/>
              </w:rPr>
              <w:t xml:space="preserve">32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Twelfth Plan (2012–17)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Theme: "Faster, More Inclusive, and Sustainable Growth."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final Five-Year Plan. In 2015, the Planning Commission was dismantled and replaced by the NITI Aayog, shifting the paradigm from centralized planning to cooperative federalism and indicative strategy.</w:t>
            </w:r>
            <w:r w:rsidDel="00000000" w:rsidR="00000000" w:rsidRPr="00000000">
              <w:rPr>
                <w:rFonts w:ascii="Google Sans Text" w:cs="Google Sans Text" w:eastAsia="Google Sans Text" w:hAnsi="Google Sans Text"/>
                <w:color w:val="444746"/>
                <w:sz w:val="24"/>
                <w:szCs w:val="24"/>
                <w:vertAlign w:val="superscript"/>
                <w:rtl w:val="0"/>
              </w:rPr>
              <w:t xml:space="preserve">29</w:t>
            </w:r>
          </w:p>
        </w:tc>
      </w:tr>
    </w:tbl>
    <w:p w:rsidR="00000000" w:rsidDel="00000000" w:rsidP="00000000" w:rsidRDefault="00000000" w:rsidRPr="00000000" w14:paraId="0000004D">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III. Agricultural Economics: Evolution, Reforms, and Modern Paradigms</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At the dawn of independence, the Indian agricultural sector was characterized by semi-feudal agrarian structures, extreme technological obsolescence, deeply entrenched inequalities, and an absolute reliance on volatile monsoon cycles.</w:t>
      </w:r>
      <w:r w:rsidDel="00000000" w:rsidR="00000000" w:rsidRPr="00000000">
        <w:rPr>
          <w:rFonts w:ascii="Google Sans Text" w:cs="Google Sans Text" w:eastAsia="Google Sans Text" w:hAnsi="Google Sans Text"/>
          <w:color w:val="444746"/>
          <w:sz w:val="24"/>
          <w:szCs w:val="24"/>
          <w:vertAlign w:val="superscript"/>
          <w:rtl w:val="0"/>
        </w:rPr>
        <w:t xml:space="preserve">35</w:t>
      </w:r>
      <w:r w:rsidDel="00000000" w:rsidR="00000000" w:rsidRPr="00000000">
        <w:rPr>
          <w:rFonts w:ascii="Google Sans Text" w:cs="Google Sans Text" w:eastAsia="Google Sans Text" w:hAnsi="Google Sans Text"/>
          <w:color w:val="1f1f1f"/>
          <w:rtl w:val="0"/>
        </w:rPr>
        <w:t xml:space="preserve"> The state's intervention in agriculture evolved through three distinct chronological phases, shifting from institutional restructuring to technological breakthroughs, and finally to modern market integration and income support.</w:t>
      </w:r>
    </w:p>
    <w:p w:rsidR="00000000" w:rsidDel="00000000" w:rsidP="00000000" w:rsidRDefault="00000000" w:rsidRPr="00000000" w14:paraId="0000004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Phase 1: Institutional Land Reforms (1950s)</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immediate post-independence agricultural strategy relied heavily on institutional and legal restructuring rather than technological input. The foundational step was the legislative abolition of intermediaries, primarily the </w:t>
      </w:r>
      <w:r w:rsidDel="00000000" w:rsidR="00000000" w:rsidRPr="00000000">
        <w:rPr>
          <w:rFonts w:ascii="Google Sans Text" w:cs="Google Sans Text" w:eastAsia="Google Sans Text" w:hAnsi="Google Sans Text"/>
          <w:i w:val="1"/>
          <w:iCs w:val="1"/>
          <w:color w:val="1f1f1f"/>
          <w:rtl w:val="0"/>
        </w:rPr>
        <w:t xml:space="preserve">Zamindari</w:t>
      </w:r>
      <w:r w:rsidDel="00000000" w:rsidR="00000000" w:rsidRPr="00000000">
        <w:rPr>
          <w:rFonts w:ascii="Google Sans Text" w:cs="Google Sans Text" w:eastAsia="Google Sans Text" w:hAnsi="Google Sans Text"/>
          <w:color w:val="1f1f1f"/>
          <w:rtl w:val="0"/>
        </w:rPr>
        <w:t xml:space="preserve"> and </w:t>
      </w:r>
      <w:r w:rsidDel="00000000" w:rsidR="00000000" w:rsidRPr="00000000">
        <w:rPr>
          <w:rFonts w:ascii="Google Sans Text" w:cs="Google Sans Text" w:eastAsia="Google Sans Text" w:hAnsi="Google Sans Text"/>
          <w:i w:val="1"/>
          <w:iCs w:val="1"/>
          <w:color w:val="1f1f1f"/>
          <w:rtl w:val="0"/>
        </w:rPr>
        <w:t xml:space="preserve">Jagirdari</w:t>
      </w:r>
      <w:r w:rsidDel="00000000" w:rsidR="00000000" w:rsidRPr="00000000">
        <w:rPr>
          <w:rFonts w:ascii="Google Sans Text" w:cs="Google Sans Text" w:eastAsia="Google Sans Text" w:hAnsi="Google Sans Text"/>
          <w:color w:val="1f1f1f"/>
          <w:rtl w:val="0"/>
        </w:rPr>
        <w:t xml:space="preserve"> systems.</w:t>
      </w:r>
      <w:r w:rsidDel="00000000" w:rsidR="00000000" w:rsidRPr="00000000">
        <w:rPr>
          <w:rFonts w:ascii="Google Sans Text" w:cs="Google Sans Text" w:eastAsia="Google Sans Text" w:hAnsi="Google Sans Text"/>
          <w:color w:val="444746"/>
          <w:sz w:val="24"/>
          <w:szCs w:val="24"/>
          <w:vertAlign w:val="superscript"/>
          <w:rtl w:val="0"/>
        </w:rPr>
        <w:t xml:space="preserve">37</w:t>
      </w:r>
      <w:r w:rsidDel="00000000" w:rsidR="00000000" w:rsidRPr="00000000">
        <w:rPr>
          <w:rFonts w:ascii="Google Sans Text" w:cs="Google Sans Text" w:eastAsia="Google Sans Text" w:hAnsi="Google Sans Text"/>
          <w:color w:val="1f1f1f"/>
          <w:rtl w:val="0"/>
        </w:rPr>
        <w:t xml:space="preserve"> These feudal landlords historically extracted maximum rent from peasant cultivators without reinvesting capital into land productivity, creating a socially unjust and economically inefficient equilibrium.</w:t>
      </w:r>
      <w:r w:rsidDel="00000000" w:rsidR="00000000" w:rsidRPr="00000000">
        <w:rPr>
          <w:rFonts w:ascii="Google Sans Text" w:cs="Google Sans Text" w:eastAsia="Google Sans Text" w:hAnsi="Google Sans Text"/>
          <w:color w:val="444746"/>
          <w:sz w:val="24"/>
          <w:szCs w:val="24"/>
          <w:vertAlign w:val="superscript"/>
          <w:rtl w:val="0"/>
        </w:rPr>
        <w:t xml:space="preserve">37</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While the abolition of intermediaries successfully brought millions of cultivators into direct contact with the state, subsequent legislative efforts—such as tenancy regulation, the provision of security of tenure, and the imposition of land ceilings to redistribute surplus land to the landless—yielded highly uneven results. These secondary reforms were frequently circumvented by deeply entrenched rural power dynamics, benami transfers, and extensive legislative loopholes.</w:t>
      </w:r>
      <w:r w:rsidDel="00000000" w:rsidR="00000000" w:rsidRPr="00000000">
        <w:rPr>
          <w:rFonts w:ascii="Google Sans Text" w:cs="Google Sans Text" w:eastAsia="Google Sans Text" w:hAnsi="Google Sans Text"/>
          <w:color w:val="444746"/>
          <w:sz w:val="24"/>
          <w:szCs w:val="24"/>
          <w:vertAlign w:val="superscript"/>
          <w:rtl w:val="0"/>
        </w:rPr>
        <w:t xml:space="preserve">38</w:t>
      </w:r>
    </w:p>
    <w:p w:rsidR="00000000" w:rsidDel="00000000" w:rsidP="00000000" w:rsidRDefault="00000000" w:rsidRPr="00000000" w14:paraId="0000005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Phase 2: The Green Revolution and Price Support (1960s–1980s)</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By the mid-1960s, continuous severe droughts and a booming population led to critical food shortages. India became precariously dependent on PL-480 concessional food aid from the United States, importing millions of tons of wheat to stave off famine.</w:t>
      </w:r>
      <w:r w:rsidDel="00000000" w:rsidR="00000000" w:rsidRPr="00000000">
        <w:rPr>
          <w:rFonts w:ascii="Google Sans Text" w:cs="Google Sans Text" w:eastAsia="Google Sans Text" w:hAnsi="Google Sans Text"/>
          <w:color w:val="444746"/>
          <w:sz w:val="24"/>
          <w:szCs w:val="24"/>
          <w:vertAlign w:val="superscript"/>
          <w:rtl w:val="0"/>
        </w:rPr>
        <w:t xml:space="preserve">40</w:t>
      </w:r>
      <w:r w:rsidDel="00000000" w:rsidR="00000000" w:rsidRPr="00000000">
        <w:rPr>
          <w:rFonts w:ascii="Google Sans Text" w:cs="Google Sans Text" w:eastAsia="Google Sans Text" w:hAnsi="Google Sans Text"/>
          <w:color w:val="1f1f1f"/>
          <w:rtl w:val="0"/>
        </w:rPr>
        <w:t xml:space="preserve"> This existential crisis forced a paradigm shift from institutional reform to rapid technological intervention.</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Spearheaded globally by Norman Borlaug and adapted in India by Dr. M.S. Swaminathan, the Green Revolution introduced High-Yielding Variety (HYV) seeds—specifically dwarf wheat and, later, rice.</w:t>
      </w:r>
      <w:r w:rsidDel="00000000" w:rsidR="00000000" w:rsidRPr="00000000">
        <w:rPr>
          <w:rFonts w:ascii="Google Sans Text" w:cs="Google Sans Text" w:eastAsia="Google Sans Text" w:hAnsi="Google Sans Text"/>
          <w:color w:val="444746"/>
          <w:sz w:val="24"/>
          <w:szCs w:val="24"/>
          <w:vertAlign w:val="superscript"/>
          <w:rtl w:val="0"/>
        </w:rPr>
        <w:t xml:space="preserve">41</w:t>
      </w:r>
      <w:r w:rsidDel="00000000" w:rsidR="00000000" w:rsidRPr="00000000">
        <w:rPr>
          <w:rFonts w:ascii="Google Sans Text" w:cs="Google Sans Text" w:eastAsia="Google Sans Text" w:hAnsi="Google Sans Text"/>
          <w:color w:val="1f1f1f"/>
          <w:rtl w:val="0"/>
        </w:rPr>
        <w:t xml:space="preserve"> To realize their yield potential, these seeds required a "package approach" involving intensive use of chemical fertilizers, synthetic pesticides, and controlled, assured irrigation.</w:t>
      </w:r>
      <w:r w:rsidDel="00000000" w:rsidR="00000000" w:rsidRPr="00000000">
        <w:rPr>
          <w:rFonts w:ascii="Google Sans Text" w:cs="Google Sans Text" w:eastAsia="Google Sans Text" w:hAnsi="Google Sans Text"/>
          <w:color w:val="444746"/>
          <w:sz w:val="24"/>
          <w:szCs w:val="24"/>
          <w:vertAlign w:val="superscript"/>
          <w:rtl w:val="0"/>
        </w:rPr>
        <w:t xml:space="preserve">42</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To incentivize risk-averse farmers to adopt these expensive new technologies, the government established a dual institutional framework in 1965: the Agricultural Prices Commission (later the Commission for Agricultural Costs and Prices, CACP) to guarantee a Minimum Support Price (MSP) as a floor price, and the Food Corporation of India (FCI) to handle physical procurement and maintain buffer stocks.</w:t>
      </w:r>
      <w:r w:rsidDel="00000000" w:rsidR="00000000" w:rsidRPr="00000000">
        <w:rPr>
          <w:rFonts w:ascii="Google Sans Text" w:cs="Google Sans Text" w:eastAsia="Google Sans Text" w:hAnsi="Google Sans Text"/>
          <w:color w:val="444746"/>
          <w:sz w:val="24"/>
          <w:szCs w:val="24"/>
          <w:vertAlign w:val="superscript"/>
          <w:rtl w:val="0"/>
        </w:rPr>
        <w:t xml:space="preserve">44</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This strategy was phenomenally successful in terms of gross output; foodgrain production surged from approximately 50 million tonnes in 1947 to 176 million tonnes by 1990-91, permanently transforming India into a self-sufficient, and eventually food-surplus, nation.</w:t>
      </w:r>
      <w:r w:rsidDel="00000000" w:rsidR="00000000" w:rsidRPr="00000000">
        <w:rPr>
          <w:rFonts w:ascii="Google Sans Text" w:cs="Google Sans Text" w:eastAsia="Google Sans Text" w:hAnsi="Google Sans Text"/>
          <w:color w:val="444746"/>
          <w:sz w:val="24"/>
          <w:szCs w:val="24"/>
          <w:vertAlign w:val="superscript"/>
          <w:rtl w:val="0"/>
        </w:rPr>
        <w:t xml:space="preserve">28</w:t>
      </w:r>
      <w:r w:rsidDel="00000000" w:rsidR="00000000" w:rsidRPr="00000000">
        <w:rPr>
          <w:rFonts w:ascii="Google Sans Text" w:cs="Google Sans Text" w:eastAsia="Google Sans Text" w:hAnsi="Google Sans Text"/>
          <w:color w:val="1f1f1f"/>
          <w:rtl w:val="0"/>
        </w:rPr>
        <w:t xml:space="preserve"> However, the Green Revolution carried profound negative externalities. It led to severe environmental degradation, toxic pesticide bioaccumulation, alarming groundwater depletion, and widened regional economic disparities, as the benefits were heavily concentrated in well-irrigated states like Punjab, Haryana, and Western Uttar Pradesh.</w:t>
      </w:r>
      <w:r w:rsidDel="00000000" w:rsidR="00000000" w:rsidRPr="00000000">
        <w:rPr>
          <w:rFonts w:ascii="Google Sans Text" w:cs="Google Sans Text" w:eastAsia="Google Sans Text" w:hAnsi="Google Sans Text"/>
          <w:color w:val="444746"/>
          <w:sz w:val="24"/>
          <w:szCs w:val="24"/>
          <w:vertAlign w:val="superscript"/>
          <w:rtl w:val="0"/>
        </w:rPr>
        <w:t xml:space="preserve">45</w:t>
      </w:r>
    </w:p>
    <w:p w:rsidR="00000000" w:rsidDel="00000000" w:rsidP="00000000" w:rsidRDefault="00000000" w:rsidRPr="00000000" w14:paraId="0000005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Phase 3: Liberalization, Diversification, and Modern Interventions (1990s–2025)</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Following the 1991 economic reforms and India's accession to the World Trade Organization (WTO) in 1995, agriculture faced new pressures of global integration and fluctuating international commodity prices.</w:t>
      </w:r>
      <w:r w:rsidDel="00000000" w:rsidR="00000000" w:rsidRPr="00000000">
        <w:rPr>
          <w:rFonts w:ascii="Google Sans Text" w:cs="Google Sans Text" w:eastAsia="Google Sans Text" w:hAnsi="Google Sans Text"/>
          <w:color w:val="444746"/>
          <w:sz w:val="24"/>
          <w:szCs w:val="24"/>
          <w:vertAlign w:val="superscript"/>
          <w:rtl w:val="0"/>
        </w:rPr>
        <w:t xml:space="preserve">39</w:t>
      </w:r>
      <w:r w:rsidDel="00000000" w:rsidR="00000000" w:rsidRPr="00000000">
        <w:rPr>
          <w:rFonts w:ascii="Google Sans Text" w:cs="Google Sans Text" w:eastAsia="Google Sans Text" w:hAnsi="Google Sans Text"/>
          <w:color w:val="1f1f1f"/>
          <w:rtl w:val="0"/>
        </w:rPr>
        <w:t xml:space="preserve"> Policy focus expanded beyond mere caloric sufficiency toward nutritional security and allied sector growth. This resulted in the "Rainbow Revolution," which encompassed the White Revolution (dairy expansion via cooperatives) and the Blue Revolution (aquaculture).</w:t>
      </w:r>
      <w:r w:rsidDel="00000000" w:rsidR="00000000" w:rsidRPr="00000000">
        <w:rPr>
          <w:rFonts w:ascii="Google Sans Text" w:cs="Google Sans Text" w:eastAsia="Google Sans Text" w:hAnsi="Google Sans Text"/>
          <w:color w:val="444746"/>
          <w:sz w:val="24"/>
          <w:szCs w:val="24"/>
          <w:vertAlign w:val="superscript"/>
          <w:rtl w:val="0"/>
        </w:rPr>
        <w:t xml:space="preserve">37</w:t>
      </w:r>
      <w:r w:rsidDel="00000000" w:rsidR="00000000" w:rsidRPr="00000000">
        <w:rPr>
          <w:rFonts w:ascii="Google Sans Text" w:cs="Google Sans Text" w:eastAsia="Google Sans Text" w:hAnsi="Google Sans Text"/>
          <w:color w:val="1f1f1f"/>
          <w:rtl w:val="0"/>
        </w:rPr>
        <w:t xml:space="preserve"> Today, horticulture accounts for roughly 33% of agricultural Gross Value Added (GVA), significantly surpassing traditional foodgrains in value generation.</w:t>
      </w:r>
      <w:r w:rsidDel="00000000" w:rsidR="00000000" w:rsidRPr="00000000">
        <w:rPr>
          <w:rFonts w:ascii="Google Sans Text" w:cs="Google Sans Text" w:eastAsia="Google Sans Text" w:hAnsi="Google Sans Text"/>
          <w:color w:val="444746"/>
          <w:sz w:val="24"/>
          <w:szCs w:val="24"/>
          <w:vertAlign w:val="superscript"/>
          <w:rtl w:val="0"/>
        </w:rPr>
        <w:t xml:space="preserve">47</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 the contemporary era (2021–2025), government policy has pivoted decisively toward direct income support, risk mitigation, and the democratization of agricultural credit.</w:t>
      </w:r>
    </w:p>
    <w:p w:rsidR="00000000" w:rsidDel="00000000" w:rsidP="00000000" w:rsidRDefault="00000000" w:rsidRPr="00000000" w14:paraId="0000005A">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Credit Democratization:</w:t>
      </w:r>
      <w:r w:rsidDel="00000000" w:rsidR="00000000" w:rsidRPr="00000000">
        <w:rPr>
          <w:rFonts w:ascii="Google Sans Text" w:cs="Google Sans Text" w:eastAsia="Google Sans Text" w:hAnsi="Google Sans Text"/>
          <w:color w:val="1f1f1f"/>
          <w:rtl w:val="0"/>
        </w:rPr>
        <w:t xml:space="preserve"> The Kisan Credit Card (KCC) scheme, initiated in 1998 following the R.V. Gupta Committee report, was designed to streamline short-term credit and break the monopolistic grip of informal moneylenders.</w:t>
      </w:r>
      <w:r w:rsidDel="00000000" w:rsidR="00000000" w:rsidRPr="00000000">
        <w:rPr>
          <w:rFonts w:ascii="Google Sans Text" w:cs="Google Sans Text" w:eastAsia="Google Sans Text" w:hAnsi="Google Sans Text"/>
          <w:color w:val="444746"/>
          <w:sz w:val="24"/>
          <w:szCs w:val="24"/>
          <w:vertAlign w:val="superscript"/>
          <w:rtl w:val="0"/>
        </w:rPr>
        <w:t xml:space="preserve">48</w:t>
      </w:r>
      <w:r w:rsidDel="00000000" w:rsidR="00000000" w:rsidRPr="00000000">
        <w:rPr>
          <w:rFonts w:ascii="Google Sans Text" w:cs="Google Sans Text" w:eastAsia="Google Sans Text" w:hAnsi="Google Sans Text"/>
          <w:color w:val="1f1f1f"/>
          <w:rtl w:val="0"/>
        </w:rPr>
        <w:t xml:space="preserve"> It operates with an interest subvention mechanism (bringing effective rates down to 4% for prompt repayment).</w:t>
      </w:r>
      <w:r w:rsidDel="00000000" w:rsidR="00000000" w:rsidRPr="00000000">
        <w:rPr>
          <w:rFonts w:ascii="Google Sans Text" w:cs="Google Sans Text" w:eastAsia="Google Sans Text" w:hAnsi="Google Sans Text"/>
          <w:color w:val="444746"/>
          <w:sz w:val="24"/>
          <w:szCs w:val="24"/>
          <w:vertAlign w:val="superscript"/>
          <w:rtl w:val="0"/>
        </w:rPr>
        <w:t xml:space="preserve">48</w:t>
      </w:r>
      <w:r w:rsidDel="00000000" w:rsidR="00000000" w:rsidRPr="00000000">
        <w:rPr>
          <w:rFonts w:ascii="Google Sans Text" w:cs="Google Sans Text" w:eastAsia="Google Sans Text" w:hAnsi="Google Sans Text"/>
          <w:color w:val="1f1f1f"/>
          <w:rtl w:val="0"/>
        </w:rPr>
        <w:t xml:space="preserve"> By 2024, approximately 7.75 crore KCCs were operational.</w:t>
      </w:r>
      <w:r w:rsidDel="00000000" w:rsidR="00000000" w:rsidRPr="00000000">
        <w:rPr>
          <w:rFonts w:ascii="Google Sans Text" w:cs="Google Sans Text" w:eastAsia="Google Sans Text" w:hAnsi="Google Sans Text"/>
          <w:color w:val="444746"/>
          <w:sz w:val="24"/>
          <w:szCs w:val="24"/>
          <w:vertAlign w:val="superscript"/>
          <w:rtl w:val="0"/>
        </w:rPr>
        <w:t xml:space="preserve">48</w:t>
      </w:r>
      <w:r w:rsidDel="00000000" w:rsidR="00000000" w:rsidRPr="00000000">
        <w:rPr>
          <w:rFonts w:ascii="Google Sans Text" w:cs="Google Sans Text" w:eastAsia="Google Sans Text" w:hAnsi="Google Sans Text"/>
          <w:color w:val="1f1f1f"/>
          <w:rtl w:val="0"/>
        </w:rPr>
        <w:t xml:space="preserve"> Crucially, the Union Budget 2025-26 further enhanced the collateral-free loan limit under the KCC scheme from ₹3 lakh to ₹5 lakh, significantly boosting working capital for farmers.</w:t>
      </w:r>
      <w:r w:rsidDel="00000000" w:rsidR="00000000" w:rsidRPr="00000000">
        <w:rPr>
          <w:rFonts w:ascii="Google Sans Text" w:cs="Google Sans Text" w:eastAsia="Google Sans Text" w:hAnsi="Google Sans Text"/>
          <w:color w:val="444746"/>
          <w:sz w:val="24"/>
          <w:szCs w:val="24"/>
          <w:vertAlign w:val="superscript"/>
          <w:rtl w:val="0"/>
        </w:rPr>
        <w:t xml:space="preserve">49</w:t>
      </w:r>
    </w:p>
    <w:p w:rsidR="00000000" w:rsidDel="00000000" w:rsidP="00000000" w:rsidRDefault="00000000" w:rsidRPr="00000000" w14:paraId="0000005B">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Risk and Income Support:</w:t>
      </w:r>
      <w:r w:rsidDel="00000000" w:rsidR="00000000" w:rsidRPr="00000000">
        <w:rPr>
          <w:rFonts w:ascii="Google Sans Text" w:cs="Google Sans Text" w:eastAsia="Google Sans Text" w:hAnsi="Google Sans Text"/>
          <w:color w:val="1f1f1f"/>
          <w:rtl w:val="0"/>
        </w:rPr>
        <w:t xml:space="preserve"> The Pradhan Mantri Fasal Bima Yojana (PMFBY), launched in 2016, has matured into the largest crop insurance scheme globally by farmer enrollment, utilizing satellite and digital data for yield estimation.</w:t>
      </w:r>
      <w:r w:rsidDel="00000000" w:rsidR="00000000" w:rsidRPr="00000000">
        <w:rPr>
          <w:rFonts w:ascii="Google Sans Text" w:cs="Google Sans Text" w:eastAsia="Google Sans Text" w:hAnsi="Google Sans Text"/>
          <w:color w:val="444746"/>
          <w:sz w:val="24"/>
          <w:szCs w:val="24"/>
          <w:vertAlign w:val="superscript"/>
          <w:rtl w:val="0"/>
        </w:rPr>
        <w:t xml:space="preserve">50</w:t>
      </w:r>
      <w:r w:rsidDel="00000000" w:rsidR="00000000" w:rsidRPr="00000000">
        <w:rPr>
          <w:rFonts w:ascii="Google Sans Text" w:cs="Google Sans Text" w:eastAsia="Google Sans Text" w:hAnsi="Google Sans Text"/>
          <w:color w:val="1f1f1f"/>
          <w:rtl w:val="0"/>
        </w:rPr>
        <w:t xml:space="preserve"> Simultaneously, PM-KISAN provides unconditional direct benefit transfers to landholding farmers, establishing a baseline of financial security.</w:t>
      </w:r>
      <w:r w:rsidDel="00000000" w:rsidR="00000000" w:rsidRPr="00000000">
        <w:rPr>
          <w:rFonts w:ascii="Google Sans Text" w:cs="Google Sans Text" w:eastAsia="Google Sans Text" w:hAnsi="Google Sans Text"/>
          <w:color w:val="444746"/>
          <w:sz w:val="24"/>
          <w:szCs w:val="24"/>
          <w:vertAlign w:val="superscript"/>
          <w:rtl w:val="0"/>
        </w:rPr>
        <w:t xml:space="preserve">51</w:t>
      </w:r>
    </w:p>
    <w:p w:rsidR="00000000" w:rsidDel="00000000" w:rsidP="00000000" w:rsidRDefault="00000000" w:rsidRPr="00000000" w14:paraId="0000005C">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Production Milestones:</w:t>
      </w:r>
      <w:r w:rsidDel="00000000" w:rsidR="00000000" w:rsidRPr="00000000">
        <w:rPr>
          <w:rFonts w:ascii="Google Sans Text" w:cs="Google Sans Text" w:eastAsia="Google Sans Text" w:hAnsi="Google Sans Text"/>
          <w:color w:val="1f1f1f"/>
          <w:rtl w:val="0"/>
        </w:rPr>
        <w:t xml:space="preserve"> Despite the structural constraints of fragmented landholdings, Indian agriculture demonstrated remarkable resilience. Aided by favorable monsoons, total foodgrain production reached an estimated record of 3,577.3 lakh metric tonnes (LMT) in the 2024–25 agricultural year, driving robust rural demand.</w:t>
      </w:r>
      <w:r w:rsidDel="00000000" w:rsidR="00000000" w:rsidRPr="00000000">
        <w:rPr>
          <w:rFonts w:ascii="Google Sans Text" w:cs="Google Sans Text" w:eastAsia="Google Sans Text" w:hAnsi="Google Sans Text"/>
          <w:color w:val="444746"/>
          <w:sz w:val="24"/>
          <w:szCs w:val="24"/>
          <w:vertAlign w:val="superscript"/>
          <w:rtl w:val="0"/>
        </w:rPr>
        <w:t xml:space="preserve">47</w:t>
      </w:r>
    </w:p>
    <w:p w:rsidR="00000000" w:rsidDel="00000000" w:rsidP="00000000" w:rsidRDefault="00000000" w:rsidRPr="00000000" w14:paraId="0000005D">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IV. Industrial Policy Evolution: From Command to Market Integration</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trajectory of India's industrial sector provides a textbook study of the transition from a highly regulated, state-dominated framework to a liberalized, globally integrated market. This evolution is strictly delineated by a series of Industrial Policy Resolutions (IPRs) and subsequent structural reforms.</w:t>
      </w:r>
    </w:p>
    <w:p w:rsidR="00000000" w:rsidDel="00000000" w:rsidP="00000000" w:rsidRDefault="00000000" w:rsidRPr="00000000" w14:paraId="0000005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Era of State Capitalism and the License Raj (1948–1990)</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Policy Framework</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Core Economic Paradigm and Structural Mechanisms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Industrial Policy Resolution (IPR) 1948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Laid the foundation for a </w:t>
            </w:r>
            <w:r w:rsidDel="00000000" w:rsidR="00000000" w:rsidRPr="00000000">
              <w:rPr>
                <w:rFonts w:ascii="Google Sans Text" w:cs="Google Sans Text" w:eastAsia="Google Sans Text" w:hAnsi="Google Sans Text"/>
                <w:b w:val="1"/>
                <w:bCs w:val="1"/>
                <w:color w:val="1f1f1f"/>
                <w:shd w:fill="auto" w:val="clear"/>
                <w:rtl w:val="0"/>
              </w:rPr>
              <w:t xml:space="preserve">Mixed Economy</w:t>
            </w:r>
            <w:r w:rsidDel="00000000" w:rsidR="00000000" w:rsidRPr="00000000">
              <w:rPr>
                <w:rFonts w:ascii="Google Sans Text" w:cs="Google Sans Text" w:eastAsia="Google Sans Text" w:hAnsi="Google Sans Text"/>
                <w:color w:val="1f1f1f"/>
                <w:shd w:fill="auto" w:val="clear"/>
                <w:rtl w:val="0"/>
              </w:rPr>
              <w:t xml:space="preserve">. Divided industries into four categories: 1) Strategic monopolies of the central government (arms, atomic energy, rail transport); 2) Basic/Key industries where the state led new undertakings; 3) Regulated private sector; 4) Unregulated private enterprise.</w:t>
            </w:r>
            <w:r w:rsidDel="00000000" w:rsidR="00000000" w:rsidRPr="00000000">
              <w:rPr>
                <w:rFonts w:ascii="Google Sans Text" w:cs="Google Sans Text" w:eastAsia="Google Sans Text" w:hAnsi="Google Sans Text"/>
                <w:color w:val="444746"/>
                <w:sz w:val="24"/>
                <w:szCs w:val="24"/>
                <w:vertAlign w:val="superscript"/>
                <w:rtl w:val="0"/>
              </w:rPr>
              <w:t xml:space="preserve">52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Industries (Development &amp; Regulation) Act, 1951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Empowered the government to aggressively regulate industrial development, legally institutionalizing the </w:t>
            </w:r>
            <w:r w:rsidDel="00000000" w:rsidR="00000000" w:rsidRPr="00000000">
              <w:rPr>
                <w:rFonts w:ascii="Google Sans Text" w:cs="Google Sans Text" w:eastAsia="Google Sans Text" w:hAnsi="Google Sans Text"/>
                <w:b w:val="1"/>
                <w:bCs w:val="1"/>
                <w:color w:val="1f1f1f"/>
                <w:shd w:fill="auto" w:val="clear"/>
                <w:rtl w:val="0"/>
              </w:rPr>
              <w:t xml:space="preserve">License-Permit-Quota Raj</w:t>
            </w:r>
            <w:r w:rsidDel="00000000" w:rsidR="00000000" w:rsidRPr="00000000">
              <w:rPr>
                <w:rFonts w:ascii="Google Sans Text" w:cs="Google Sans Text" w:eastAsia="Google Sans Text" w:hAnsi="Google Sans Text"/>
                <w:color w:val="1f1f1f"/>
                <w:shd w:fill="auto" w:val="clear"/>
                <w:rtl w:val="0"/>
              </w:rPr>
              <w:t xml:space="preserve">. Firms required state permission to establish, expand, or diversify production.</w:t>
            </w:r>
            <w:r w:rsidDel="00000000" w:rsidR="00000000" w:rsidRPr="00000000">
              <w:rPr>
                <w:rFonts w:ascii="Google Sans Text" w:cs="Google Sans Text" w:eastAsia="Google Sans Text" w:hAnsi="Google Sans Text"/>
                <w:color w:val="444746"/>
                <w:sz w:val="24"/>
                <w:szCs w:val="24"/>
                <w:vertAlign w:val="superscript"/>
                <w:rtl w:val="0"/>
              </w:rPr>
              <w:t xml:space="preserve">38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Industrial Policy Resolution (IPR) 1956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Often termed the "Economic Constitution of India." It explicitly aimed to establish a </w:t>
            </w:r>
            <w:r w:rsidDel="00000000" w:rsidR="00000000" w:rsidRPr="00000000">
              <w:rPr>
                <w:rFonts w:ascii="Google Sans Text" w:cs="Google Sans Text" w:eastAsia="Google Sans Text" w:hAnsi="Google Sans Text"/>
                <w:b w:val="1"/>
                <w:bCs w:val="1"/>
                <w:color w:val="1f1f1f"/>
                <w:shd w:fill="auto" w:val="clear"/>
                <w:rtl w:val="0"/>
              </w:rPr>
              <w:t xml:space="preserve">socialistic pattern of society</w:t>
            </w:r>
            <w:r w:rsidDel="00000000" w:rsidR="00000000" w:rsidRPr="00000000">
              <w:rPr>
                <w:rFonts w:ascii="Google Sans Text" w:cs="Google Sans Text" w:eastAsia="Google Sans Text" w:hAnsi="Google Sans Text"/>
                <w:color w:val="1f1f1f"/>
                <w:shd w:fill="auto" w:val="clear"/>
                <w:rtl w:val="0"/>
              </w:rPr>
              <w:t xml:space="preserve">. It classified industries into three schedules: Schedule A (17 industries strictly reserved as state monopolies); Schedule B (12 mixed industries where the state took the lead but private enterprise could participate); and Schedule C (remaining industries left to the private sector, but heavily bound by licensing).</w:t>
            </w:r>
            <w:r w:rsidDel="00000000" w:rsidR="00000000" w:rsidRPr="00000000">
              <w:rPr>
                <w:rFonts w:ascii="Google Sans Text" w:cs="Google Sans Text" w:eastAsia="Google Sans Text" w:hAnsi="Google Sans Text"/>
                <w:color w:val="444746"/>
                <w:sz w:val="24"/>
                <w:szCs w:val="24"/>
                <w:vertAlign w:val="superscript"/>
                <w:rtl w:val="0"/>
              </w:rPr>
              <w:t xml:space="preserve">52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Industrial Policy Statement 1977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Formulated by the Janata Government, it represented a reaction against large conglomerates. It decentralized focus toward employment generation, granting massive protection to </w:t>
            </w:r>
            <w:r w:rsidDel="00000000" w:rsidR="00000000" w:rsidRPr="00000000">
              <w:rPr>
                <w:rFonts w:ascii="Google Sans Text" w:cs="Google Sans Text" w:eastAsia="Google Sans Text" w:hAnsi="Google Sans Text"/>
                <w:b w:val="1"/>
                <w:bCs w:val="1"/>
                <w:color w:val="1f1f1f"/>
                <w:shd w:fill="auto" w:val="clear"/>
                <w:rtl w:val="0"/>
              </w:rPr>
              <w:t xml:space="preserve">Small Scale Industries (SSIs)</w:t>
            </w:r>
            <w:r w:rsidDel="00000000" w:rsidR="00000000" w:rsidRPr="00000000">
              <w:rPr>
                <w:rFonts w:ascii="Google Sans Text" w:cs="Google Sans Text" w:eastAsia="Google Sans Text" w:hAnsi="Google Sans Text"/>
                <w:color w:val="1f1f1f"/>
                <w:shd w:fill="auto" w:val="clear"/>
                <w:rtl w:val="0"/>
              </w:rPr>
              <w:t xml:space="preserve"> and creating a new "Tiny Unit" classification. It also imposed severe operational restrictions on multinational corporations (MNCs).</w:t>
            </w:r>
            <w:r w:rsidDel="00000000" w:rsidR="00000000" w:rsidRPr="00000000">
              <w:rPr>
                <w:rFonts w:ascii="Google Sans Text" w:cs="Google Sans Text" w:eastAsia="Google Sans Text" w:hAnsi="Google Sans Text"/>
                <w:color w:val="444746"/>
                <w:sz w:val="24"/>
                <w:szCs w:val="24"/>
                <w:vertAlign w:val="superscript"/>
                <w:rtl w:val="0"/>
              </w:rPr>
              <w:t xml:space="preserve">38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Industrial Policy Statement 1980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Marked the genesis of gradual pre-liberalization adjustments. Addressed the stagnation of the 1970s by promoting modernization, technological upgradation, and allowing automatic expansion of capacity for companies restricted under the MRTP (Monopolies and Restrictive Trade Practices) Act and FERA (Foreign Exchange Regulation Act).</w:t>
            </w:r>
            <w:r w:rsidDel="00000000" w:rsidR="00000000" w:rsidRPr="00000000">
              <w:rPr>
                <w:rFonts w:ascii="Google Sans Text" w:cs="Google Sans Text" w:eastAsia="Google Sans Text" w:hAnsi="Google Sans Text"/>
                <w:color w:val="444746"/>
                <w:sz w:val="24"/>
                <w:szCs w:val="24"/>
                <w:vertAlign w:val="superscript"/>
                <w:rtl w:val="0"/>
              </w:rPr>
              <w:t xml:space="preserve">53</w:t>
            </w:r>
          </w:p>
        </w:tc>
      </w:tr>
    </w:tbl>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During this prolonged phase, the modern manufacturing sector was artificially constrained. Import substitution policies protected inefficient domestic monopolies from foreign competition with exorbitant tariffs, while the MRTP Act restricted the organic growth of successful domestic firms to prevent the concentration of economic power.</w:t>
      </w:r>
      <w:r w:rsidDel="00000000" w:rsidR="00000000" w:rsidRPr="00000000">
        <w:rPr>
          <w:rFonts w:ascii="Google Sans Text" w:cs="Google Sans Text" w:eastAsia="Google Sans Text" w:hAnsi="Google Sans Text"/>
          <w:color w:val="444746"/>
          <w:sz w:val="24"/>
          <w:szCs w:val="24"/>
          <w:vertAlign w:val="superscript"/>
          <w:rtl w:val="0"/>
        </w:rPr>
        <w:t xml:space="preserve">54</w:t>
      </w:r>
      <w:r w:rsidDel="00000000" w:rsidR="00000000" w:rsidRPr="00000000">
        <w:rPr>
          <w:rFonts w:ascii="Google Sans Text" w:cs="Google Sans Text" w:eastAsia="Google Sans Text" w:hAnsi="Google Sans Text"/>
          <w:color w:val="1f1f1f"/>
          <w:rtl w:val="0"/>
        </w:rPr>
        <w:t xml:space="preserve"> Concurrently, the reservation of hundreds of consumer goods for the Small Scale Industry (SSI) sector actively discouraged economies of scale.</w:t>
      </w:r>
      <w:r w:rsidDel="00000000" w:rsidR="00000000" w:rsidRPr="00000000">
        <w:rPr>
          <w:rFonts w:ascii="Google Sans Text" w:cs="Google Sans Text" w:eastAsia="Google Sans Text" w:hAnsi="Google Sans Text"/>
          <w:color w:val="444746"/>
          <w:sz w:val="24"/>
          <w:szCs w:val="24"/>
          <w:vertAlign w:val="superscript"/>
          <w:rtl w:val="0"/>
        </w:rPr>
        <w:t xml:space="preserve">55</w:t>
      </w:r>
    </w:p>
    <w:p w:rsidR="00000000" w:rsidDel="00000000" w:rsidP="00000000" w:rsidRDefault="00000000" w:rsidRPr="00000000" w14:paraId="0000006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New Economic Policy (1991) and the Liberalization Paradigm</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 1991, an acute balance of payments (BoP) crisis—triggered by the Gulf War oil shock, dwindling foreign exchange reserves, and systemic inefficiencies—forced India to seek IMF assistance and initiate radical structural reforms. The </w:t>
      </w:r>
      <w:r w:rsidDel="00000000" w:rsidR="00000000" w:rsidRPr="00000000">
        <w:rPr>
          <w:rFonts w:ascii="Google Sans Text" w:cs="Google Sans Text" w:eastAsia="Google Sans Text" w:hAnsi="Google Sans Text"/>
          <w:b w:val="1"/>
          <w:bCs w:val="1"/>
          <w:color w:val="1f1f1f"/>
          <w:rtl w:val="0"/>
        </w:rPr>
        <w:t xml:space="preserve">New Industrial Policy (NIP) of 1991</w:t>
      </w:r>
      <w:r w:rsidDel="00000000" w:rsidR="00000000" w:rsidRPr="00000000">
        <w:rPr>
          <w:rFonts w:ascii="Google Sans Text" w:cs="Google Sans Text" w:eastAsia="Google Sans Text" w:hAnsi="Google Sans Text"/>
          <w:color w:val="1f1f1f"/>
          <w:rtl w:val="0"/>
        </w:rPr>
        <w:t xml:space="preserve"> fundamentally dismantled the command economy, ushering in the era of Liberalization, Privatization, and Globalization (LPG).</w:t>
      </w:r>
      <w:r w:rsidDel="00000000" w:rsidR="00000000" w:rsidRPr="00000000">
        <w:rPr>
          <w:rFonts w:ascii="Google Sans Text" w:cs="Google Sans Text" w:eastAsia="Google Sans Text" w:hAnsi="Google Sans Text"/>
          <w:color w:val="444746"/>
          <w:sz w:val="24"/>
          <w:szCs w:val="24"/>
          <w:vertAlign w:val="superscript"/>
          <w:rtl w:val="0"/>
        </w:rPr>
        <w:t xml:space="preserve">38</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Key mechanisms of the 1991 NEP included:</w:t>
      </w:r>
    </w:p>
    <w:p w:rsidR="00000000" w:rsidDel="00000000" w:rsidP="00000000" w:rsidRDefault="00000000" w:rsidRPr="00000000" w14:paraId="00000071">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De-licensing:</w:t>
      </w:r>
      <w:r w:rsidDel="00000000" w:rsidR="00000000" w:rsidRPr="00000000">
        <w:rPr>
          <w:rFonts w:ascii="Google Sans Text" w:cs="Google Sans Text" w:eastAsia="Google Sans Text" w:hAnsi="Google Sans Text"/>
          <w:color w:val="1f1f1f"/>
          <w:rtl w:val="0"/>
        </w:rPr>
        <w:t xml:space="preserve"> Industrial licensing was abolished for almost all sectors, retaining controls only on a handful of industries related to security, strategic concern, or hazardous chemicals.</w:t>
      </w:r>
      <w:r w:rsidDel="00000000" w:rsidR="00000000" w:rsidRPr="00000000">
        <w:rPr>
          <w:rFonts w:ascii="Google Sans Text" w:cs="Google Sans Text" w:eastAsia="Google Sans Text" w:hAnsi="Google Sans Text"/>
          <w:color w:val="444746"/>
          <w:sz w:val="24"/>
          <w:szCs w:val="24"/>
          <w:vertAlign w:val="superscript"/>
          <w:rtl w:val="0"/>
        </w:rPr>
        <w:t xml:space="preserve">55</w:t>
      </w:r>
    </w:p>
    <w:p w:rsidR="00000000" w:rsidDel="00000000" w:rsidP="00000000" w:rsidRDefault="00000000" w:rsidRPr="00000000" w14:paraId="00000072">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De-reservation:</w:t>
      </w:r>
      <w:r w:rsidDel="00000000" w:rsidR="00000000" w:rsidRPr="00000000">
        <w:rPr>
          <w:rFonts w:ascii="Google Sans Text" w:cs="Google Sans Text" w:eastAsia="Google Sans Text" w:hAnsi="Google Sans Text"/>
          <w:color w:val="1f1f1f"/>
          <w:rtl w:val="0"/>
        </w:rPr>
        <w:t xml:space="preserve"> The public sector monopoly was drastically curtailed. The number of industries reserved exclusively for the public sector (Schedule A of 1956) was slashed from 17 to just 3 (and eventually to only atomic energy and railway operations).</w:t>
      </w:r>
      <w:r w:rsidDel="00000000" w:rsidR="00000000" w:rsidRPr="00000000">
        <w:rPr>
          <w:rFonts w:ascii="Google Sans Text" w:cs="Google Sans Text" w:eastAsia="Google Sans Text" w:hAnsi="Google Sans Text"/>
          <w:color w:val="444746"/>
          <w:sz w:val="24"/>
          <w:szCs w:val="24"/>
          <w:vertAlign w:val="superscript"/>
          <w:rtl w:val="0"/>
        </w:rPr>
        <w:t xml:space="preserve">52</w:t>
      </w:r>
    </w:p>
    <w:p w:rsidR="00000000" w:rsidDel="00000000" w:rsidP="00000000" w:rsidRDefault="00000000" w:rsidRPr="00000000" w14:paraId="00000073">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FDI and Technology:</w:t>
      </w:r>
      <w:r w:rsidDel="00000000" w:rsidR="00000000" w:rsidRPr="00000000">
        <w:rPr>
          <w:rFonts w:ascii="Google Sans Text" w:cs="Google Sans Text" w:eastAsia="Google Sans Text" w:hAnsi="Google Sans Text"/>
          <w:color w:val="1f1f1f"/>
          <w:rtl w:val="0"/>
        </w:rPr>
        <w:t xml:space="preserve"> The draconian FERA restrictions were relaxed, allowing automatic approval for up to 51% Foreign Direct Investment (FDI) in high-priority industries, alongside automatic permission for foreign technology agreements.</w:t>
      </w:r>
      <w:r w:rsidDel="00000000" w:rsidR="00000000" w:rsidRPr="00000000">
        <w:rPr>
          <w:rFonts w:ascii="Google Sans Text" w:cs="Google Sans Text" w:eastAsia="Google Sans Text" w:hAnsi="Google Sans Text"/>
          <w:color w:val="444746"/>
          <w:sz w:val="24"/>
          <w:szCs w:val="24"/>
          <w:vertAlign w:val="superscript"/>
          <w:rtl w:val="0"/>
        </w:rPr>
        <w:t xml:space="preserve">54</w:t>
      </w:r>
    </w:p>
    <w:p w:rsidR="00000000" w:rsidDel="00000000" w:rsidP="00000000" w:rsidRDefault="00000000" w:rsidRPr="00000000" w14:paraId="00000074">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MRTP Scrapping:</w:t>
      </w:r>
      <w:r w:rsidDel="00000000" w:rsidR="00000000" w:rsidRPr="00000000">
        <w:rPr>
          <w:rFonts w:ascii="Google Sans Text" w:cs="Google Sans Text" w:eastAsia="Google Sans Text" w:hAnsi="Google Sans Text"/>
          <w:color w:val="1f1f1f"/>
          <w:rtl w:val="0"/>
        </w:rPr>
        <w:t xml:space="preserve"> The threshold limits on the assets of MRTP companies were eliminated, allowing domestic firms to expand, merge, and achieve global scale without prior bureaucratic approval.</w:t>
      </w:r>
      <w:r w:rsidDel="00000000" w:rsidR="00000000" w:rsidRPr="00000000">
        <w:rPr>
          <w:rFonts w:ascii="Google Sans Text" w:cs="Google Sans Text" w:eastAsia="Google Sans Text" w:hAnsi="Google Sans Text"/>
          <w:color w:val="444746"/>
          <w:sz w:val="24"/>
          <w:szCs w:val="24"/>
          <w:vertAlign w:val="superscript"/>
          <w:rtl w:val="0"/>
        </w:rPr>
        <w:t xml:space="preserve">55</w:t>
      </w:r>
    </w:p>
    <w:p w:rsidR="00000000" w:rsidDel="00000000" w:rsidP="00000000" w:rsidRDefault="00000000" w:rsidRPr="00000000" w14:paraId="00000075">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Contemporary Industrial Trajectory (2021–2025)</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next phase of Indian industrial growth requires a decisive shift from the remnants of import substitution toward scale, innovation, and deep integration into Global Value Chains (GVCs). The current strategy (2021-2025) is anchored in building "strategic resilience and strategic indispensability".</w:t>
      </w:r>
      <w:r w:rsidDel="00000000" w:rsidR="00000000" w:rsidRPr="00000000">
        <w:rPr>
          <w:rFonts w:ascii="Google Sans Text" w:cs="Google Sans Text" w:eastAsia="Google Sans Text" w:hAnsi="Google Sans Text"/>
          <w:color w:val="444746"/>
          <w:sz w:val="24"/>
          <w:szCs w:val="24"/>
          <w:vertAlign w:val="superscript"/>
          <w:rtl w:val="0"/>
        </w:rPr>
        <w:t xml:space="preserve">57</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primary policy vehicle driving this transformation is the </w:t>
      </w:r>
      <w:r w:rsidDel="00000000" w:rsidR="00000000" w:rsidRPr="00000000">
        <w:rPr>
          <w:rFonts w:ascii="Google Sans Text" w:cs="Google Sans Text" w:eastAsia="Google Sans Text" w:hAnsi="Google Sans Text"/>
          <w:b w:val="1"/>
          <w:bCs w:val="1"/>
          <w:color w:val="1f1f1f"/>
          <w:rtl w:val="0"/>
        </w:rPr>
        <w:t xml:space="preserve">Production Linked Incentive (PLI)</w:t>
      </w:r>
      <w:r w:rsidDel="00000000" w:rsidR="00000000" w:rsidRPr="00000000">
        <w:rPr>
          <w:rFonts w:ascii="Google Sans Text" w:cs="Google Sans Text" w:eastAsia="Google Sans Text" w:hAnsi="Google Sans Text"/>
          <w:color w:val="1f1f1f"/>
          <w:rtl w:val="0"/>
        </w:rPr>
        <w:t xml:space="preserve"> scheme. Launched across over a dozen sectors (including electronics, semiconductors, pharmaceuticals, and advanced chemistry cell batteries), PLI provides direct fiscal subsidies to large firms based on incremental sales from capacity expansion, thereby incentivizing massive capital formation and technology transfer.</w:t>
      </w:r>
      <w:r w:rsidDel="00000000" w:rsidR="00000000" w:rsidRPr="00000000">
        <w:rPr>
          <w:rFonts w:ascii="Google Sans Text" w:cs="Google Sans Text" w:eastAsia="Google Sans Text" w:hAnsi="Google Sans Text"/>
          <w:color w:val="444746"/>
          <w:sz w:val="24"/>
          <w:szCs w:val="24"/>
          <w:vertAlign w:val="superscript"/>
          <w:rtl w:val="0"/>
        </w:rPr>
        <w:t xml:space="preserve">55</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Concurrently, the regulatory environment has been heavily deregulated to improve the Ease of Doing Business. Over 350 archaic compliances have been rationalized, labor laws have been consolidated into four broad Labour Codes, and the classification criteria for MSMEs have been expanded significantly (in the 2025-26 budget) to allow small firms to grow without losing their supportive benefits.</w:t>
      </w:r>
      <w:r w:rsidDel="00000000" w:rsidR="00000000" w:rsidRPr="00000000">
        <w:rPr>
          <w:rFonts w:ascii="Google Sans Text" w:cs="Google Sans Text" w:eastAsia="Google Sans Text" w:hAnsi="Google Sans Text"/>
          <w:color w:val="444746"/>
          <w:sz w:val="24"/>
          <w:szCs w:val="24"/>
          <w:vertAlign w:val="superscript"/>
          <w:rtl w:val="0"/>
        </w:rPr>
        <w:t xml:space="preserve">49</w:t>
      </w:r>
      <w:r w:rsidDel="00000000" w:rsidR="00000000" w:rsidRPr="00000000">
        <w:rPr>
          <w:rFonts w:ascii="Google Sans Text" w:cs="Google Sans Text" w:eastAsia="Google Sans Text" w:hAnsi="Google Sans Text"/>
          <w:color w:val="1f1f1f"/>
          <w:rtl w:val="0"/>
        </w:rPr>
        <w:t xml:space="preserve"> Despite these advances, the Economic Survey 2025-26 notes that national expenditure on Research &amp; Development (R&amp;D) remains stagnant at just 0.64% of GDP, a structural bottleneck that must be addressed to transition toward high-tech manufacturing.</w:t>
      </w:r>
      <w:r w:rsidDel="00000000" w:rsidR="00000000" w:rsidRPr="00000000">
        <w:rPr>
          <w:rFonts w:ascii="Google Sans Text" w:cs="Google Sans Text" w:eastAsia="Google Sans Text" w:hAnsi="Google Sans Text"/>
          <w:color w:val="444746"/>
          <w:sz w:val="24"/>
          <w:szCs w:val="24"/>
          <w:vertAlign w:val="superscript"/>
          <w:rtl w:val="0"/>
        </w:rPr>
        <w:t xml:space="preserve">59</w:t>
      </w:r>
    </w:p>
    <w:p w:rsidR="00000000" w:rsidDel="00000000" w:rsidP="00000000" w:rsidRDefault="00000000" w:rsidRPr="00000000" w14:paraId="00000079">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 Public Economics and the Principles of Taxation</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foundational pillar of the CUET PG Economics syllabus requires a rigorous understanding of state intervention, market failure, and the theoretical design of optimal taxation.</w:t>
      </w:r>
    </w:p>
    <w:p w:rsidR="00000000" w:rsidDel="00000000" w:rsidP="00000000" w:rsidRDefault="00000000" w:rsidRPr="00000000" w14:paraId="0000007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Market Failures: Public Goods and Externalities</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primary economic rationale for government expenditure lies in addressing market failures, most notably in the provision of </w:t>
      </w:r>
      <w:r w:rsidDel="00000000" w:rsidR="00000000" w:rsidRPr="00000000">
        <w:rPr>
          <w:rFonts w:ascii="Google Sans Text" w:cs="Google Sans Text" w:eastAsia="Google Sans Text" w:hAnsi="Google Sans Text"/>
          <w:b w:val="1"/>
          <w:bCs w:val="1"/>
          <w:color w:val="1f1f1f"/>
          <w:rtl w:val="0"/>
        </w:rPr>
        <w:t xml:space="preserve">Public Goods</w:t>
      </w:r>
      <w:r w:rsidDel="00000000" w:rsidR="00000000" w:rsidRPr="00000000">
        <w:rPr>
          <w:rFonts w:ascii="Google Sans Text" w:cs="Google Sans Text" w:eastAsia="Google Sans Text" w:hAnsi="Google Sans Text"/>
          <w:color w:val="1f1f1f"/>
          <w:rtl w:val="0"/>
        </w:rPr>
        <w:t xml:space="preserve">. In neoclassic welfare economics, a pure public good is defined not by who provides it, but by two specific technological characteristics:</w:t>
      </w:r>
    </w:p>
    <w:p w:rsidR="00000000" w:rsidDel="00000000" w:rsidP="00000000" w:rsidRDefault="00000000" w:rsidRPr="00000000" w14:paraId="0000007D">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Non-Rivalry:</w:t>
      </w:r>
      <w:r w:rsidDel="00000000" w:rsidR="00000000" w:rsidRPr="00000000">
        <w:rPr>
          <w:rFonts w:ascii="Google Sans Text" w:cs="Google Sans Text" w:eastAsia="Google Sans Text" w:hAnsi="Google Sans Text"/>
          <w:color w:val="1f1f1f"/>
          <w:rtl w:val="0"/>
        </w:rPr>
        <w:t xml:space="preserve"> The consumption of the good by one individual does not subtract from the quantity or quality available to others. The marginal cost of accommodating an additional user is zero (e.g., national defense, a lighthouse, clean air).</w:t>
      </w:r>
      <w:r w:rsidDel="00000000" w:rsidR="00000000" w:rsidRPr="00000000">
        <w:rPr>
          <w:rFonts w:ascii="Google Sans Text" w:cs="Google Sans Text" w:eastAsia="Google Sans Text" w:hAnsi="Google Sans Text"/>
          <w:color w:val="444746"/>
          <w:sz w:val="24"/>
          <w:szCs w:val="24"/>
          <w:vertAlign w:val="superscript"/>
          <w:rtl w:val="0"/>
        </w:rPr>
        <w:t xml:space="preserve">60</w:t>
      </w:r>
    </w:p>
    <w:p w:rsidR="00000000" w:rsidDel="00000000" w:rsidP="00000000" w:rsidRDefault="00000000" w:rsidRPr="00000000" w14:paraId="0000007E">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Non-Excludability:</w:t>
      </w:r>
      <w:r w:rsidDel="00000000" w:rsidR="00000000" w:rsidRPr="00000000">
        <w:rPr>
          <w:rFonts w:ascii="Google Sans Text" w:cs="Google Sans Text" w:eastAsia="Google Sans Text" w:hAnsi="Google Sans Text"/>
          <w:color w:val="1f1f1f"/>
          <w:rtl w:val="0"/>
        </w:rPr>
        <w:t xml:space="preserve"> It is physically impossible, or economically prohibitive, to prevent individuals who have not paid for the good from consuming its benefits.</w:t>
      </w:r>
      <w:r w:rsidDel="00000000" w:rsidR="00000000" w:rsidRPr="00000000">
        <w:rPr>
          <w:rFonts w:ascii="Google Sans Text" w:cs="Google Sans Text" w:eastAsia="Google Sans Text" w:hAnsi="Google Sans Text"/>
          <w:color w:val="444746"/>
          <w:sz w:val="24"/>
          <w:szCs w:val="24"/>
          <w:vertAlign w:val="superscript"/>
          <w:rtl w:val="0"/>
        </w:rPr>
        <w:t xml:space="preserve">60</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Because individuals cannot be excluded, rational economic agents will withhold payment, expecting others to bear the cost. This is the </w:t>
      </w:r>
      <w:r w:rsidDel="00000000" w:rsidR="00000000" w:rsidRPr="00000000">
        <w:rPr>
          <w:rFonts w:ascii="Google Sans Text" w:cs="Google Sans Text" w:eastAsia="Google Sans Text" w:hAnsi="Google Sans Text"/>
          <w:b w:val="1"/>
          <w:bCs w:val="1"/>
          <w:color w:val="1f1f1f"/>
          <w:rtl w:val="0"/>
        </w:rPr>
        <w:t xml:space="preserve">free-rider problem</w:t>
      </w:r>
      <w:r w:rsidDel="00000000" w:rsidR="00000000" w:rsidRPr="00000000">
        <w:rPr>
          <w:rFonts w:ascii="Google Sans Text" w:cs="Google Sans Text" w:eastAsia="Google Sans Text" w:hAnsi="Google Sans Text"/>
          <w:color w:val="1f1f1f"/>
          <w:rtl w:val="0"/>
        </w:rPr>
        <w:t xml:space="preserve">, which ensures that private competitive markets will inherently under-produce or completely fail to provide public goods, necessitating state provision funded via compulsory taxation.</w:t>
      </w:r>
      <w:r w:rsidDel="00000000" w:rsidR="00000000" w:rsidRPr="00000000">
        <w:rPr>
          <w:rFonts w:ascii="Google Sans Text" w:cs="Google Sans Text" w:eastAsia="Google Sans Text" w:hAnsi="Google Sans Text"/>
          <w:color w:val="444746"/>
          <w:sz w:val="24"/>
          <w:szCs w:val="24"/>
          <w:vertAlign w:val="superscript"/>
          <w:rtl w:val="0"/>
        </w:rPr>
        <w:t xml:space="preserve">60</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state also intervenes to manage </w:t>
      </w:r>
      <w:r w:rsidDel="00000000" w:rsidR="00000000" w:rsidRPr="00000000">
        <w:rPr>
          <w:rFonts w:ascii="Google Sans Text" w:cs="Google Sans Text" w:eastAsia="Google Sans Text" w:hAnsi="Google Sans Text"/>
          <w:b w:val="1"/>
          <w:bCs w:val="1"/>
          <w:color w:val="1f1f1f"/>
          <w:rtl w:val="0"/>
        </w:rPr>
        <w:t xml:space="preserve">externalities</w:t>
      </w:r>
      <w:r w:rsidDel="00000000" w:rsidR="00000000" w:rsidRPr="00000000">
        <w:rPr>
          <w:rFonts w:ascii="Google Sans Text" w:cs="Google Sans Text" w:eastAsia="Google Sans Text" w:hAnsi="Google Sans Text"/>
          <w:color w:val="1f1f1f"/>
          <w:rtl w:val="0"/>
        </w:rPr>
        <w:t xml:space="preserve">—the uncompensated spillover effects of economic activity on third parties. For negative externalities (like industrial pollution), the social cost exceeds the private cost. The government utilizes Pigouvian taxes or cap-and-trade systems to internalize these costs, shifting the market equilibrium back to the socially optimal level.</w:t>
      </w:r>
      <w:r w:rsidDel="00000000" w:rsidR="00000000" w:rsidRPr="00000000">
        <w:rPr>
          <w:rFonts w:ascii="Google Sans Text" w:cs="Google Sans Text" w:eastAsia="Google Sans Text" w:hAnsi="Google Sans Text"/>
          <w:color w:val="444746"/>
          <w:sz w:val="24"/>
          <w:szCs w:val="24"/>
          <w:vertAlign w:val="superscript"/>
          <w:rtl w:val="0"/>
        </w:rPr>
        <w:t xml:space="preserve">62</w:t>
      </w:r>
    </w:p>
    <w:p w:rsidR="00000000" w:rsidDel="00000000" w:rsidP="00000000" w:rsidRDefault="00000000" w:rsidRPr="00000000" w14:paraId="0000008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Taxation Mechanics: Deadweight Loss and Incidence</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Raising revenue to finance public goods inherently distorts economic behavior and exacts an efficiency cost. When the government levies an excise (per-unit) tax on a commodity, it inserts a wedge between the price consumers pay and the price producers receive, thereby reducing the equilibrium quantity traded in the market.</w:t>
      </w:r>
      <w:r w:rsidDel="00000000" w:rsidR="00000000" w:rsidRPr="00000000">
        <w:rPr>
          <w:rFonts w:ascii="Google Sans Text" w:cs="Google Sans Text" w:eastAsia="Google Sans Text" w:hAnsi="Google Sans Text"/>
          <w:color w:val="444746"/>
          <w:sz w:val="24"/>
          <w:szCs w:val="24"/>
          <w:vertAlign w:val="superscript"/>
          <w:rtl w:val="0"/>
        </w:rPr>
        <w:t xml:space="preserve">64</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total loss of consumer and producer surplus is strictly greater than the tax revenue collected by the government. This net destruction of societal welfare is termed the </w:t>
      </w:r>
      <w:r w:rsidDel="00000000" w:rsidR="00000000" w:rsidRPr="00000000">
        <w:rPr>
          <w:rFonts w:ascii="Google Sans Text" w:cs="Google Sans Text" w:eastAsia="Google Sans Text" w:hAnsi="Google Sans Text"/>
          <w:b w:val="1"/>
          <w:bCs w:val="1"/>
          <w:color w:val="1f1f1f"/>
          <w:rtl w:val="0"/>
        </w:rPr>
        <w:t xml:space="preserve">Deadweight Loss (DWL)</w:t>
      </w:r>
      <w:r w:rsidDel="00000000" w:rsidR="00000000" w:rsidRPr="00000000">
        <w:rPr>
          <w:rFonts w:ascii="Google Sans Text" w:cs="Google Sans Text" w:eastAsia="Google Sans Text" w:hAnsi="Google Sans Text"/>
          <w:color w:val="1f1f1f"/>
          <w:rtl w:val="0"/>
        </w:rPr>
        <w:t xml:space="preserve">, or excess burden of taxation, graphically represented by the Harberger triangle.</w:t>
      </w:r>
      <w:r w:rsidDel="00000000" w:rsidR="00000000" w:rsidRPr="00000000">
        <w:rPr>
          <w:rFonts w:ascii="Google Sans Text" w:cs="Google Sans Text" w:eastAsia="Google Sans Text" w:hAnsi="Google Sans Text"/>
          <w:color w:val="444746"/>
          <w:sz w:val="24"/>
          <w:szCs w:val="24"/>
          <w:vertAlign w:val="superscript"/>
          <w:rtl w:val="0"/>
        </w:rPr>
        <w:t xml:space="preserve">65</w:t>
      </w:r>
      <w:r w:rsidDel="00000000" w:rsidR="00000000" w:rsidRPr="00000000">
        <w:rPr>
          <w:rFonts w:ascii="Google Sans Text" w:cs="Google Sans Text" w:eastAsia="Google Sans Text" w:hAnsi="Google Sans Text"/>
          <w:color w:val="1f1f1f"/>
          <w:rtl w:val="0"/>
        </w:rPr>
        <w:t xml:space="preserve"> The magnitude of the DWL is highly dependent on the price elasticities of demand and supply.</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Crucially, the statutory incidence of a tax (who is legally required to remit the tax to the government) does not determine the </w:t>
      </w:r>
      <w:r w:rsidDel="00000000" w:rsidR="00000000" w:rsidRPr="00000000">
        <w:rPr>
          <w:rFonts w:ascii="Google Sans Text" w:cs="Google Sans Text" w:eastAsia="Google Sans Text" w:hAnsi="Google Sans Text"/>
          <w:b w:val="1"/>
          <w:bCs w:val="1"/>
          <w:color w:val="1f1f1f"/>
          <w:rtl w:val="0"/>
        </w:rPr>
        <w:t xml:space="preserve">economic incidence</w:t>
      </w:r>
      <w:r w:rsidDel="00000000" w:rsidR="00000000" w:rsidRPr="00000000">
        <w:rPr>
          <w:rFonts w:ascii="Google Sans Text" w:cs="Google Sans Text" w:eastAsia="Google Sans Text" w:hAnsi="Google Sans Text"/>
          <w:color w:val="1f1f1f"/>
          <w:rtl w:val="0"/>
        </w:rPr>
        <w:t xml:space="preserve"> (who actually bears the financial burden). If the demand for a good is highly inelastic relative to its supply (e.g., life-saving pharmaceuticals, tobacco), consumers cannot easily substitute away from the product, and therefore the burden of the tax falls overwhelmingly on the consumer, while the resulting DWL remains relatively small.</w:t>
      </w:r>
      <w:r w:rsidDel="00000000" w:rsidR="00000000" w:rsidRPr="00000000">
        <w:rPr>
          <w:rFonts w:ascii="Google Sans Text" w:cs="Google Sans Text" w:eastAsia="Google Sans Text" w:hAnsi="Google Sans Text"/>
          <w:color w:val="444746"/>
          <w:sz w:val="24"/>
          <w:szCs w:val="24"/>
          <w:vertAlign w:val="superscript"/>
          <w:rtl w:val="0"/>
        </w:rPr>
        <w:t xml:space="preserve">65</w:t>
      </w:r>
    </w:p>
    <w:p w:rsidR="00000000" w:rsidDel="00000000" w:rsidP="00000000" w:rsidRDefault="00000000" w:rsidRPr="00000000" w14:paraId="0000008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Optimal Commodity Taxation: The Ramsey Rule</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Given that taxes create distortionary deadweight losses, the core problem of optimal taxation theory is how to raise a required amount of government revenue while minimizing the aggregate excess burden on the economy.</w:t>
      </w:r>
      <w:r w:rsidDel="00000000" w:rsidR="00000000" w:rsidRPr="00000000">
        <w:rPr>
          <w:rFonts w:ascii="Google Sans Text" w:cs="Google Sans Text" w:eastAsia="Google Sans Text" w:hAnsi="Google Sans Text"/>
          <w:color w:val="444746"/>
          <w:sz w:val="24"/>
          <w:szCs w:val="24"/>
          <w:vertAlign w:val="superscript"/>
          <w:rtl w:val="0"/>
        </w:rPr>
        <w:t xml:space="preserve">66</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solution is provided by the </w:t>
      </w:r>
      <w:r w:rsidDel="00000000" w:rsidR="00000000" w:rsidRPr="00000000">
        <w:rPr>
          <w:rFonts w:ascii="Google Sans Text" w:cs="Google Sans Text" w:eastAsia="Google Sans Text" w:hAnsi="Google Sans Text"/>
          <w:b w:val="1"/>
          <w:bCs w:val="1"/>
          <w:color w:val="1f1f1f"/>
          <w:rtl w:val="0"/>
        </w:rPr>
        <w:t xml:space="preserve">Ramsey Rule</w:t>
      </w:r>
      <w:r w:rsidDel="00000000" w:rsidR="00000000" w:rsidRPr="00000000">
        <w:rPr>
          <w:rFonts w:ascii="Google Sans Text" w:cs="Google Sans Text" w:eastAsia="Google Sans Text" w:hAnsi="Google Sans Text"/>
          <w:color w:val="1f1f1f"/>
          <w:rtl w:val="0"/>
        </w:rPr>
        <w:t xml:space="preserve"> (also known as the inverse elasticity rule), developed by Frank P. Ramsey. The mathematical derivation dictates that to minimize DWL, the tax rates set on different commodities should be inversely proportional to their respective price elasticities of demand.</w:t>
      </w:r>
      <w:r w:rsidDel="00000000" w:rsidR="00000000" w:rsidRPr="00000000">
        <w:rPr>
          <w:rFonts w:ascii="Google Sans Text" w:cs="Google Sans Text" w:eastAsia="Google Sans Text" w:hAnsi="Google Sans Text"/>
          <w:color w:val="444746"/>
          <w:sz w:val="24"/>
          <w:szCs w:val="24"/>
          <w:vertAlign w:val="superscript"/>
          <w:rtl w:val="0"/>
        </w:rPr>
        <w:t xml:space="preserve">67</w:t>
      </w:r>
      <w:r w:rsidDel="00000000" w:rsidR="00000000" w:rsidRPr="00000000">
        <w:rPr>
          <w:rFonts w:ascii="Google Sans Text" w:cs="Google Sans Text" w:eastAsia="Google Sans Text" w:hAnsi="Google Sans Text"/>
          <w:color w:val="1f1f1f"/>
          <w:rtl w:val="0"/>
        </w:rPr>
        <w:t xml:space="preserve"> Therefore, to maximize pure economic efficiency, the government should levy the highest taxes on goods that are demanded most inelastically. The intuitive logic is that taxing inelastic goods causes the smallest percentage reduction in consumption, thereby preserving the pre-tax allocation of resources as much as possible.</w:t>
      </w:r>
      <w:r w:rsidDel="00000000" w:rsidR="00000000" w:rsidRPr="00000000">
        <w:rPr>
          <w:rFonts w:ascii="Google Sans Text" w:cs="Google Sans Text" w:eastAsia="Google Sans Text" w:hAnsi="Google Sans Text"/>
          <w:color w:val="444746"/>
          <w:sz w:val="24"/>
          <w:szCs w:val="24"/>
          <w:vertAlign w:val="superscript"/>
          <w:rtl w:val="0"/>
        </w:rPr>
        <w:t xml:space="preserve">68</w:t>
      </w:r>
      <w:r w:rsidDel="00000000" w:rsidR="00000000" w:rsidRPr="00000000">
        <w:rPr>
          <w:rFonts w:ascii="Google Sans Text" w:cs="Google Sans Text" w:eastAsia="Google Sans Text" w:hAnsi="Google Sans Text"/>
          <w:color w:val="1f1f1f"/>
          <w:rtl w:val="0"/>
        </w:rPr>
        <w:t xml:space="preserve"> (However, relying purely on the Ramsey Rule often conflicts with equity concerns, as necessities—which are inelastic—would be taxed heavier than luxury goods).</w:t>
      </w:r>
    </w:p>
    <w:p w:rsidR="00000000" w:rsidDel="00000000" w:rsidP="00000000" w:rsidRDefault="00000000" w:rsidRPr="00000000" w14:paraId="0000008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Contemporary Fiscal Policy and Budget 2025-26</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Translating theory into practice, the Indian government's current fiscal strategy relies on a combination of expenditure rationalization, capital investment, and tax base broadening. The Union Budget 2025-26 projects a </w:t>
      </w:r>
      <w:r w:rsidDel="00000000" w:rsidR="00000000" w:rsidRPr="00000000">
        <w:rPr>
          <w:rFonts w:ascii="Google Sans Text" w:cs="Google Sans Text" w:eastAsia="Google Sans Text" w:hAnsi="Google Sans Text"/>
          <w:b w:val="1"/>
          <w:bCs w:val="1"/>
          <w:color w:val="1f1f1f"/>
          <w:rtl w:val="0"/>
        </w:rPr>
        <w:t xml:space="preserve">fiscal deficit</w:t>
      </w:r>
      <w:r w:rsidDel="00000000" w:rsidR="00000000" w:rsidRPr="00000000">
        <w:rPr>
          <w:rFonts w:ascii="Google Sans Text" w:cs="Google Sans Text" w:eastAsia="Google Sans Text" w:hAnsi="Google Sans Text"/>
          <w:color w:val="1f1f1f"/>
          <w:rtl w:val="0"/>
        </w:rPr>
        <w:t xml:space="preserve">—the difference between the government's total expenditure and its non-debt receipts—at </w:t>
      </w:r>
      <w:r w:rsidDel="00000000" w:rsidR="00000000" w:rsidRPr="00000000">
        <w:rPr>
          <w:rFonts w:ascii="Google Sans Text" w:cs="Google Sans Text" w:eastAsia="Google Sans Text" w:hAnsi="Google Sans Text"/>
          <w:b w:val="1"/>
          <w:bCs w:val="1"/>
          <w:color w:val="1f1f1f"/>
          <w:rtl w:val="0"/>
        </w:rPr>
        <w:t xml:space="preserve">4.4% of GDP</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71</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This reflects a highly credible path of fiscal consolidation, progressively reducing the deficit from the pandemic-era high of 9.2% in FY21.</w:t>
      </w:r>
      <w:r w:rsidDel="00000000" w:rsidR="00000000" w:rsidRPr="00000000">
        <w:rPr>
          <w:rFonts w:ascii="Google Sans Text" w:cs="Google Sans Text" w:eastAsia="Google Sans Text" w:hAnsi="Google Sans Text"/>
          <w:color w:val="444746"/>
          <w:sz w:val="24"/>
          <w:szCs w:val="24"/>
          <w:vertAlign w:val="superscript"/>
          <w:rtl w:val="0"/>
        </w:rPr>
        <w:t xml:space="preserve">57</w:t>
      </w:r>
      <w:r w:rsidDel="00000000" w:rsidR="00000000" w:rsidRPr="00000000">
        <w:rPr>
          <w:rFonts w:ascii="Google Sans Text" w:cs="Google Sans Text" w:eastAsia="Google Sans Text" w:hAnsi="Google Sans Text"/>
          <w:color w:val="1f1f1f"/>
          <w:rtl w:val="0"/>
        </w:rPr>
        <w:t xml:space="preserve"> Rather than chasing rigid annual deficit targets, the government has adopted a long-term macroeconomic anchor, aiming to reduce the total debt-to-GDP ratio to 50% by 2031, providing the necessary flexibility to navigate global uncertainties.</w:t>
      </w:r>
      <w:r w:rsidDel="00000000" w:rsidR="00000000" w:rsidRPr="00000000">
        <w:rPr>
          <w:rFonts w:ascii="Google Sans Text" w:cs="Google Sans Text" w:eastAsia="Google Sans Text" w:hAnsi="Google Sans Text"/>
          <w:color w:val="444746"/>
          <w:sz w:val="24"/>
          <w:szCs w:val="24"/>
          <w:vertAlign w:val="superscript"/>
          <w:rtl w:val="0"/>
        </w:rPr>
        <w:t xml:space="preserve">58</w:t>
      </w:r>
      <w:r w:rsidDel="00000000" w:rsidR="00000000" w:rsidRPr="00000000">
        <w:rPr>
          <w:rFonts w:ascii="Google Sans Text" w:cs="Google Sans Text" w:eastAsia="Google Sans Text" w:hAnsi="Google Sans Text"/>
          <w:color w:val="1f1f1f"/>
          <w:rtl w:val="0"/>
        </w:rPr>
        <w:t xml:space="preserve"> Concurrently, direct tax buoyancy has improved structurally, with the share of non-corporate income tax collections and the volume of tax returns filed seeing significant post-pandemic increases.</w:t>
      </w:r>
      <w:r w:rsidDel="00000000" w:rsidR="00000000" w:rsidRPr="00000000">
        <w:rPr>
          <w:rFonts w:ascii="Google Sans Text" w:cs="Google Sans Text" w:eastAsia="Google Sans Text" w:hAnsi="Google Sans Text"/>
          <w:color w:val="444746"/>
          <w:sz w:val="24"/>
          <w:szCs w:val="24"/>
          <w:vertAlign w:val="superscript"/>
          <w:rtl w:val="0"/>
        </w:rPr>
        <w:t xml:space="preserve">74</w:t>
      </w:r>
      <w:r w:rsidDel="00000000" w:rsidR="00000000" w:rsidRPr="00000000">
        <w:rPr>
          <w:rFonts w:ascii="Google Sans Text" w:cs="Google Sans Text" w:eastAsia="Google Sans Text" w:hAnsi="Google Sans Text"/>
          <w:color w:val="1f1f1f"/>
          <w:rtl w:val="0"/>
        </w:rPr>
        <w:t xml:space="preserve"> To further simplify compliance, the 2025-26 budget introduced rationalizations in Tax Deduction at Source (TDS) and Tax Collection at Source (TCS) thresholds.</w:t>
      </w:r>
      <w:r w:rsidDel="00000000" w:rsidR="00000000" w:rsidRPr="00000000">
        <w:rPr>
          <w:rFonts w:ascii="Google Sans Text" w:cs="Google Sans Text" w:eastAsia="Google Sans Text" w:hAnsi="Google Sans Text"/>
          <w:color w:val="444746"/>
          <w:sz w:val="24"/>
          <w:szCs w:val="24"/>
          <w:vertAlign w:val="superscript"/>
          <w:rtl w:val="0"/>
        </w:rPr>
        <w:t xml:space="preserve">71</w:t>
      </w:r>
    </w:p>
    <w:p w:rsidR="00000000" w:rsidDel="00000000" w:rsidP="00000000" w:rsidRDefault="00000000" w:rsidRPr="00000000" w14:paraId="0000008B">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VI. Fiscal Federalism and the Finance Commission</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India’s constitutional architecture establishes a quasi-federal system characterized by a distinct separation of fiscal powers. The Constitution assigns the most buoyant revenue-raising powers (such as corporate tax, personal income tax, and customs) to the Central government, while assigning the most expansive socio-economic expenditure responsibilities (such as health, education, and public order) to the State governments.</w:t>
      </w:r>
      <w:r w:rsidDel="00000000" w:rsidR="00000000" w:rsidRPr="00000000">
        <w:rPr>
          <w:rFonts w:ascii="Google Sans Text" w:cs="Google Sans Text" w:eastAsia="Google Sans Text" w:hAnsi="Google Sans Text"/>
          <w:color w:val="444746"/>
          <w:sz w:val="24"/>
          <w:szCs w:val="24"/>
          <w:vertAlign w:val="superscript"/>
          <w:rtl w:val="0"/>
        </w:rPr>
        <w:t xml:space="preserve">75</w:t>
      </w:r>
      <w:r w:rsidDel="00000000" w:rsidR="00000000" w:rsidRPr="00000000">
        <w:rPr>
          <w:rFonts w:ascii="Google Sans Text" w:cs="Google Sans Text" w:eastAsia="Google Sans Text" w:hAnsi="Google Sans Text"/>
          <w:color w:val="1f1f1f"/>
          <w:rtl w:val="0"/>
        </w:rPr>
        <w:t xml:space="preserve"> This structural asymmetry creates a massive </w:t>
      </w:r>
      <w:r w:rsidDel="00000000" w:rsidR="00000000" w:rsidRPr="00000000">
        <w:rPr>
          <w:rFonts w:ascii="Google Sans Text" w:cs="Google Sans Text" w:eastAsia="Google Sans Text" w:hAnsi="Google Sans Text"/>
          <w:b w:val="1"/>
          <w:bCs w:val="1"/>
          <w:color w:val="1f1f1f"/>
          <w:rtl w:val="0"/>
        </w:rPr>
        <w:t xml:space="preserve">Vertical Fiscal Imbalance</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77</w:t>
      </w:r>
      <w:r w:rsidDel="00000000" w:rsidR="00000000" w:rsidRPr="00000000">
        <w:rPr>
          <w:rFonts w:ascii="Google Sans Text" w:cs="Google Sans Text" w:eastAsia="Google Sans Text" w:hAnsi="Google Sans Text"/>
          <w:color w:val="1f1f1f"/>
          <w:rtl w:val="0"/>
        </w:rPr>
        <w:t xml:space="preserve"> Simultaneously, immense disparities in historical development, industrial capacity, and demography between different Indian states create a severe </w:t>
      </w:r>
      <w:r w:rsidDel="00000000" w:rsidR="00000000" w:rsidRPr="00000000">
        <w:rPr>
          <w:rFonts w:ascii="Google Sans Text" w:cs="Google Sans Text" w:eastAsia="Google Sans Text" w:hAnsi="Google Sans Text"/>
          <w:b w:val="1"/>
          <w:bCs w:val="1"/>
          <w:color w:val="1f1f1f"/>
          <w:rtl w:val="0"/>
        </w:rPr>
        <w:t xml:space="preserve">Horizontal Fiscal Imbalance</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76</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To resolve these imbalances, Article 280 of the Constitution mandates the President of India to constitute a </w:t>
      </w:r>
      <w:r w:rsidDel="00000000" w:rsidR="00000000" w:rsidRPr="00000000">
        <w:rPr>
          <w:rFonts w:ascii="Google Sans Text" w:cs="Google Sans Text" w:eastAsia="Google Sans Text" w:hAnsi="Google Sans Text"/>
          <w:b w:val="1"/>
          <w:bCs w:val="1"/>
          <w:color w:val="1f1f1f"/>
          <w:rtl w:val="0"/>
        </w:rPr>
        <w:t xml:space="preserve">Finance Commission</w:t>
      </w:r>
      <w:r w:rsidDel="00000000" w:rsidR="00000000" w:rsidRPr="00000000">
        <w:rPr>
          <w:rFonts w:ascii="Google Sans Text" w:cs="Google Sans Text" w:eastAsia="Google Sans Text" w:hAnsi="Google Sans Text"/>
          <w:color w:val="1f1f1f"/>
          <w:rtl w:val="0"/>
        </w:rPr>
        <w:t xml:space="preserve"> every five years. The Commission acts as the supreme arbiter of intergovernmental fiscal transfers, specifically determining:</w:t>
      </w:r>
    </w:p>
    <w:p w:rsidR="00000000" w:rsidDel="00000000" w:rsidP="00000000" w:rsidRDefault="00000000" w:rsidRPr="00000000" w14:paraId="0000008E">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Vertical Devolution:</w:t>
      </w:r>
      <w:r w:rsidDel="00000000" w:rsidR="00000000" w:rsidRPr="00000000">
        <w:rPr>
          <w:rFonts w:ascii="Google Sans Text" w:cs="Google Sans Text" w:eastAsia="Google Sans Text" w:hAnsi="Google Sans Text"/>
          <w:color w:val="1f1f1f"/>
          <w:rtl w:val="0"/>
        </w:rPr>
        <w:t xml:space="preserve"> The percentage of the Centre's net divisible pool of taxes to be shared collectively with the states.</w:t>
      </w:r>
    </w:p>
    <w:p w:rsidR="00000000" w:rsidDel="00000000" w:rsidP="00000000" w:rsidRDefault="00000000" w:rsidRPr="00000000" w14:paraId="0000008F">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Horizontal Devolution:</w:t>
      </w:r>
      <w:r w:rsidDel="00000000" w:rsidR="00000000" w:rsidRPr="00000000">
        <w:rPr>
          <w:rFonts w:ascii="Google Sans Text" w:cs="Google Sans Text" w:eastAsia="Google Sans Text" w:hAnsi="Google Sans Text"/>
          <w:color w:val="1f1f1f"/>
          <w:rtl w:val="0"/>
        </w:rPr>
        <w:t xml:space="preserve"> The econometric formula determining how that collective pool is divided among individual states.</w:t>
      </w:r>
    </w:p>
    <w:p w:rsidR="00000000" w:rsidDel="00000000" w:rsidP="00000000" w:rsidRDefault="00000000" w:rsidRPr="00000000" w14:paraId="00000090">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Grants-in-aid:</w:t>
      </w:r>
      <w:r w:rsidDel="00000000" w:rsidR="00000000" w:rsidRPr="00000000">
        <w:rPr>
          <w:rFonts w:ascii="Google Sans Text" w:cs="Google Sans Text" w:eastAsia="Google Sans Text" w:hAnsi="Google Sans Text"/>
          <w:color w:val="1f1f1f"/>
          <w:rtl w:val="0"/>
        </w:rPr>
        <w:t xml:space="preserve"> Specific conditional or unconditional grants provided to states requiring additional fiscal support.</w:t>
      </w:r>
      <w:r w:rsidDel="00000000" w:rsidR="00000000" w:rsidRPr="00000000">
        <w:rPr>
          <w:rFonts w:ascii="Google Sans Text" w:cs="Google Sans Text" w:eastAsia="Google Sans Text" w:hAnsi="Google Sans Text"/>
          <w:color w:val="444746"/>
          <w:sz w:val="24"/>
          <w:szCs w:val="24"/>
          <w:vertAlign w:val="superscript"/>
          <w:rtl w:val="0"/>
        </w:rPr>
        <w:t xml:space="preserve">78</w:t>
      </w:r>
    </w:p>
    <w:p w:rsidR="00000000" w:rsidDel="00000000" w:rsidP="00000000" w:rsidRDefault="00000000" w:rsidRPr="00000000" w14:paraId="00000091">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Historical Evolution of the Finance Commission</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Since the 1st Finance Commission (chaired by K.C. Neogy in 1951), the devolution architecture has evolved significantly.</w:t>
      </w:r>
      <w:r w:rsidDel="00000000" w:rsidR="00000000" w:rsidRPr="00000000">
        <w:rPr>
          <w:rFonts w:ascii="Google Sans Text" w:cs="Google Sans Text" w:eastAsia="Google Sans Text" w:hAnsi="Google Sans Text"/>
          <w:color w:val="444746"/>
          <w:sz w:val="24"/>
          <w:szCs w:val="24"/>
          <w:vertAlign w:val="superscript"/>
          <w:rtl w:val="0"/>
        </w:rPr>
        <w:t xml:space="preserve">80</w:t>
      </w:r>
      <w:r w:rsidDel="00000000" w:rsidR="00000000" w:rsidRPr="00000000">
        <w:rPr>
          <w:rFonts w:ascii="Google Sans Text" w:cs="Google Sans Text" w:eastAsia="Google Sans Text" w:hAnsi="Google Sans Text"/>
          <w:color w:val="1f1f1f"/>
          <w:rtl w:val="0"/>
        </w:rPr>
        <w:t xml:space="preserve"> A watershed paradigm shift occurred with the recommendations of the </w:t>
      </w:r>
      <w:r w:rsidDel="00000000" w:rsidR="00000000" w:rsidRPr="00000000">
        <w:rPr>
          <w:rFonts w:ascii="Google Sans Text" w:cs="Google Sans Text" w:eastAsia="Google Sans Text" w:hAnsi="Google Sans Text"/>
          <w:b w:val="1"/>
          <w:bCs w:val="1"/>
          <w:color w:val="1f1f1f"/>
          <w:rtl w:val="0"/>
        </w:rPr>
        <w:t xml:space="preserve">14th Finance Commission</w:t>
      </w:r>
      <w:r w:rsidDel="00000000" w:rsidR="00000000" w:rsidRPr="00000000">
        <w:rPr>
          <w:rFonts w:ascii="Google Sans Text" w:cs="Google Sans Text" w:eastAsia="Google Sans Text" w:hAnsi="Google Sans Text"/>
          <w:color w:val="1f1f1f"/>
          <w:rtl w:val="0"/>
        </w:rPr>
        <w:t xml:space="preserve"> (chaired by Y.V. Reddy, covering 2015-2020), which radically increased the vertical devolution share from 32% to 42%. This historic leap drastically expanded the unconditional fiscal autonomy of state governments, shifting the balance of power away from discretionary central grants.</w:t>
      </w:r>
      <w:r w:rsidDel="00000000" w:rsidR="00000000" w:rsidRPr="00000000">
        <w:rPr>
          <w:rFonts w:ascii="Google Sans Text" w:cs="Google Sans Text" w:eastAsia="Google Sans Text" w:hAnsi="Google Sans Text"/>
          <w:color w:val="444746"/>
          <w:sz w:val="24"/>
          <w:szCs w:val="24"/>
          <w:vertAlign w:val="superscript"/>
          <w:rtl w:val="0"/>
        </w:rPr>
        <w:t xml:space="preserve">81</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Concurrently, the implementation of the </w:t>
      </w:r>
      <w:r w:rsidDel="00000000" w:rsidR="00000000" w:rsidRPr="00000000">
        <w:rPr>
          <w:rFonts w:ascii="Google Sans Text" w:cs="Google Sans Text" w:eastAsia="Google Sans Text" w:hAnsi="Google Sans Text"/>
          <w:b w:val="1"/>
          <w:bCs w:val="1"/>
          <w:color w:val="1f1f1f"/>
          <w:rtl w:val="0"/>
        </w:rPr>
        <w:t xml:space="preserve">Goods and Services Tax (GST)</w:t>
      </w:r>
      <w:r w:rsidDel="00000000" w:rsidR="00000000" w:rsidRPr="00000000">
        <w:rPr>
          <w:rFonts w:ascii="Google Sans Text" w:cs="Google Sans Text" w:eastAsia="Google Sans Text" w:hAnsi="Google Sans Text"/>
          <w:color w:val="1f1f1f"/>
          <w:rtl w:val="0"/>
        </w:rPr>
        <w:t xml:space="preserve"> in 2017 represented the most profound alteration to India's fiscal federalism since independence. It pooled the indirect taxation sovereignty of both the Centre and the States into the joint GST Council, effectively transforming them from fiscal competitors into equal stakeholders in a unified national market.</w:t>
      </w:r>
      <w:r w:rsidDel="00000000" w:rsidR="00000000" w:rsidRPr="00000000">
        <w:rPr>
          <w:rFonts w:ascii="Google Sans Text" w:cs="Google Sans Text" w:eastAsia="Google Sans Text" w:hAnsi="Google Sans Text"/>
          <w:color w:val="444746"/>
          <w:sz w:val="24"/>
          <w:szCs w:val="24"/>
          <w:vertAlign w:val="superscript"/>
          <w:rtl w:val="0"/>
        </w:rPr>
        <w:t xml:space="preserve">75</w:t>
      </w:r>
    </w:p>
    <w:p w:rsidR="00000000" w:rsidDel="00000000" w:rsidP="00000000" w:rsidRDefault="00000000" w:rsidRPr="00000000" w14:paraId="0000009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16th Finance Commission (2026–2031)</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Constituted in late 2023 under the chairmanship of Dr. Arvind Panagariya, the 16th Finance Commission (FC-16) submitted its highly anticipated recommendations governing the award period of April 2026 to March 2031.</w:t>
      </w:r>
      <w:r w:rsidDel="00000000" w:rsidR="00000000" w:rsidRPr="00000000">
        <w:rPr>
          <w:rFonts w:ascii="Google Sans Text" w:cs="Google Sans Text" w:eastAsia="Google Sans Text" w:hAnsi="Google Sans Text"/>
          <w:color w:val="444746"/>
          <w:sz w:val="24"/>
          <w:szCs w:val="24"/>
          <w:vertAlign w:val="superscript"/>
          <w:rtl w:val="0"/>
        </w:rPr>
        <w:t xml:space="preserve">84</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1. Vertical Devolution:</w:t>
      </w:r>
      <w:r w:rsidDel="00000000" w:rsidR="00000000" w:rsidRPr="00000000">
        <w:rPr>
          <w:rFonts w:ascii="Google Sans Text" w:cs="Google Sans Text" w:eastAsia="Google Sans Text" w:hAnsi="Google Sans Text"/>
          <w:color w:val="1f1f1f"/>
          <w:rtl w:val="0"/>
        </w:rPr>
        <w:t xml:space="preserve"> The FC-16 opted for macroeconomic continuity, recommending that the states' share of the divisible pool be retained at </w:t>
      </w:r>
      <w:r w:rsidDel="00000000" w:rsidR="00000000" w:rsidRPr="00000000">
        <w:rPr>
          <w:rFonts w:ascii="Google Sans Text" w:cs="Google Sans Text" w:eastAsia="Google Sans Text" w:hAnsi="Google Sans Text"/>
          <w:b w:val="1"/>
          <w:bCs w:val="1"/>
          <w:color w:val="1f1f1f"/>
          <w:rtl w:val="0"/>
        </w:rPr>
        <w:t xml:space="preserve">41%</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86</w:t>
      </w:r>
      <w:r w:rsidDel="00000000" w:rsidR="00000000" w:rsidRPr="00000000">
        <w:rPr>
          <w:rFonts w:ascii="Google Sans Text" w:cs="Google Sans Text" w:eastAsia="Google Sans Text" w:hAnsi="Google Sans Text"/>
          <w:color w:val="1f1f1f"/>
          <w:rtl w:val="0"/>
        </w:rPr>
        <w:t xml:space="preserve"> (This figure is effectively equivalent to the 14th FC's 42%, adjusted downward by 1% by the 15th FC to account for the conversion of Jammu &amp; Kashmir into Union Territories, which are funded directly by the Centre </w:t>
      </w:r>
      <w:r w:rsidDel="00000000" w:rsidR="00000000" w:rsidRPr="00000000">
        <w:rPr>
          <w:rFonts w:ascii="Google Sans Text" w:cs="Google Sans Text" w:eastAsia="Google Sans Text" w:hAnsi="Google Sans Text"/>
          <w:color w:val="444746"/>
          <w:sz w:val="24"/>
          <w:szCs w:val="24"/>
          <w:vertAlign w:val="superscript"/>
          <w:rtl w:val="0"/>
        </w:rPr>
        <w:t xml:space="preserve">81</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Despite state demands for a 50% vertical share, the Commission maintained 41%. However, a critical friction point remains: the divisible pool explicitly excludes </w:t>
      </w:r>
      <w:r w:rsidDel="00000000" w:rsidR="00000000" w:rsidRPr="00000000">
        <w:rPr>
          <w:rFonts w:ascii="Google Sans Text" w:cs="Google Sans Text" w:eastAsia="Google Sans Text" w:hAnsi="Google Sans Text"/>
          <w:b w:val="1"/>
          <w:bCs w:val="1"/>
          <w:color w:val="1f1f1f"/>
          <w:rtl w:val="0"/>
        </w:rPr>
        <w:t xml:space="preserve">cesses and surcharges</w:t>
      </w:r>
      <w:r w:rsidDel="00000000" w:rsidR="00000000" w:rsidRPr="00000000">
        <w:rPr>
          <w:rFonts w:ascii="Google Sans Text" w:cs="Google Sans Text" w:eastAsia="Google Sans Text" w:hAnsi="Google Sans Text"/>
          <w:color w:val="1f1f1f"/>
          <w:rtl w:val="0"/>
        </w:rPr>
        <w:t xml:space="preserve"> levied by the Centre. States argue that the Centre's increasing reliance on these non-shareable instruments artificially shrinks the divisible pool, exacerbating the vertical imbalance and severely constraining state budgets.</w:t>
      </w:r>
      <w:r w:rsidDel="00000000" w:rsidR="00000000" w:rsidRPr="00000000">
        <w:rPr>
          <w:rFonts w:ascii="Google Sans Text" w:cs="Google Sans Text" w:eastAsia="Google Sans Text" w:hAnsi="Google Sans Text"/>
          <w:color w:val="444746"/>
          <w:sz w:val="24"/>
          <w:szCs w:val="24"/>
          <w:vertAlign w:val="superscript"/>
          <w:rtl w:val="0"/>
        </w:rPr>
        <w:t xml:space="preserve">77</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2. Horizontal Devolution Formula:</w:t>
      </w:r>
      <w:r w:rsidDel="00000000" w:rsidR="00000000" w:rsidRPr="00000000">
        <w:rPr>
          <w:rFonts w:ascii="Google Sans Text" w:cs="Google Sans Text" w:eastAsia="Google Sans Text" w:hAnsi="Google Sans Text"/>
          <w:color w:val="1f1f1f"/>
          <w:rtl w:val="0"/>
        </w:rPr>
        <w:t xml:space="preserve"> The 16th Finance Commission instituted a significant structural recalibration of the horizontal distribution formula, attempting to balance the redistributive equity required by poorer states with a new emphasis on rewarding economic efficiency and contribution.</w:t>
      </w:r>
      <w:r w:rsidDel="00000000" w:rsidR="00000000" w:rsidRPr="00000000">
        <w:rPr>
          <w:rFonts w:ascii="Google Sans Text" w:cs="Google Sans Text" w:eastAsia="Google Sans Text" w:hAnsi="Google Sans Text"/>
          <w:color w:val="444746"/>
          <w:sz w:val="24"/>
          <w:szCs w:val="24"/>
          <w:vertAlign w:val="superscript"/>
          <w:rtl w:val="0"/>
        </w:rPr>
        <w:t xml:space="preserve">86</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tl w:val="0"/>
        </w:rPr>
      </w:r>
    </w:p>
    <w:tbl>
      <w:tblPr>
        <w:tblStyle w:val="Table4"/>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Devolution Criterion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15th FC Weight (2021-26)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16th FC Weight (2026-31)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Economic Rationale and Policy Shift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Income Distance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45.0%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Moderated slightly but remains the dominant metric. It ensures aggressive equity transfers by calculating the distance of a state's per capita income from the highest-income state, heavily favoring poorer states like Bihar and UP.</w:t>
            </w:r>
            <w:r w:rsidDel="00000000" w:rsidR="00000000" w:rsidRPr="00000000">
              <w:rPr>
                <w:rFonts w:ascii="Google Sans Text" w:cs="Google Sans Text" w:eastAsia="Google Sans Text" w:hAnsi="Google Sans Text"/>
                <w:color w:val="444746"/>
                <w:sz w:val="24"/>
                <w:szCs w:val="24"/>
                <w:vertAlign w:val="superscript"/>
                <w:rtl w:val="0"/>
              </w:rPr>
              <w:t xml:space="preserve">90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Population (2011)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15.0%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17.5%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Weight increased to reflect the higher absolute expenditure requirements (in health, education, administration) of highly populous states.</w:t>
            </w:r>
            <w:r w:rsidDel="00000000" w:rsidR="00000000" w:rsidRPr="00000000">
              <w:rPr>
                <w:rFonts w:ascii="Google Sans Text" w:cs="Google Sans Text" w:eastAsia="Google Sans Text" w:hAnsi="Google Sans Text"/>
                <w:color w:val="444746"/>
                <w:sz w:val="24"/>
                <w:szCs w:val="24"/>
                <w:vertAlign w:val="superscript"/>
                <w:rtl w:val="0"/>
              </w:rPr>
              <w:t xml:space="preserve">90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Area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15.0%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Weight reduced, diminishing the structural advantage previously held by geographically vast but sparsely populated states (e.g., Rajasthan, MP).</w:t>
            </w:r>
            <w:r w:rsidDel="00000000" w:rsidR="00000000" w:rsidRPr="00000000">
              <w:rPr>
                <w:rFonts w:ascii="Google Sans Text" w:cs="Google Sans Text" w:eastAsia="Google Sans Text" w:hAnsi="Google Sans Text"/>
                <w:color w:val="444746"/>
                <w:sz w:val="24"/>
                <w:szCs w:val="24"/>
                <w:vertAlign w:val="superscript"/>
                <w:rtl w:val="0"/>
              </w:rPr>
              <w:t xml:space="preserve">90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Demographic Performance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Retained but reduced. This specifically rewards states (predominantly Southern states) that have successfully implemented population control measures and stabilized their fertility rates.</w:t>
            </w:r>
            <w:r w:rsidDel="00000000" w:rsidR="00000000" w:rsidRPr="00000000">
              <w:rPr>
                <w:rFonts w:ascii="Google Sans Text" w:cs="Google Sans Text" w:eastAsia="Google Sans Text" w:hAnsi="Google Sans Text"/>
                <w:color w:val="444746"/>
                <w:sz w:val="24"/>
                <w:szCs w:val="24"/>
                <w:vertAlign w:val="superscript"/>
                <w:rtl w:val="0"/>
              </w:rPr>
              <w:t xml:space="preserve">90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Forest Cover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Maintained constantly to serve as an ecological compensation mechanism for states preserving large forest tracts, effectively paying them for the environmental opportunity cost of non-industrialization.</w:t>
            </w:r>
            <w:r w:rsidDel="00000000" w:rsidR="00000000" w:rsidRPr="00000000">
              <w:rPr>
                <w:rFonts w:ascii="Google Sans Text" w:cs="Google Sans Text" w:eastAsia="Google Sans Text" w:hAnsi="Google Sans Text"/>
                <w:color w:val="444746"/>
                <w:sz w:val="24"/>
                <w:szCs w:val="24"/>
                <w:vertAlign w:val="superscript"/>
                <w:rtl w:val="0"/>
              </w:rPr>
              <w:t xml:space="preserve">86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Tax and Fiscal Efforts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Completely eliminated, removing the minor incentive previously tied to state-level tax collection efficiency.</w:t>
            </w:r>
            <w:r w:rsidDel="00000000" w:rsidR="00000000" w:rsidRPr="00000000">
              <w:rPr>
                <w:rFonts w:ascii="Google Sans Text" w:cs="Google Sans Text" w:eastAsia="Google Sans Text" w:hAnsi="Google Sans Text"/>
                <w:color w:val="444746"/>
                <w:sz w:val="24"/>
                <w:szCs w:val="24"/>
                <w:vertAlign w:val="superscript"/>
                <w:rtl w:val="0"/>
              </w:rPr>
              <w:t xml:space="preserve">90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Contribution to GDP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shd w:fill="auto" w:val="clear"/>
                <w:rtl w:val="0"/>
              </w:rPr>
              <w:t xml:space="preserve">Major New Criterion:</w:t>
            </w:r>
            <w:r w:rsidDel="00000000" w:rsidR="00000000" w:rsidRPr="00000000">
              <w:rPr>
                <w:rFonts w:ascii="Google Sans Text" w:cs="Google Sans Text" w:eastAsia="Google Sans Text" w:hAnsi="Google Sans Text"/>
                <w:color w:val="1f1f1f"/>
                <w:shd w:fill="auto" w:val="clear"/>
                <w:rtl w:val="0"/>
              </w:rPr>
              <w:t xml:space="preserve"> Introduced for the very first time. This definitively shifts the formula to reward highly industrialized and economically productive states (like Maharashtra, Gujarat, Tamil Nadu) that contribute heavily to national output, mitigating their grievances over massive outward redistributions to poorer states.</w:t>
            </w:r>
            <w:r w:rsidDel="00000000" w:rsidR="00000000" w:rsidRPr="00000000">
              <w:rPr>
                <w:rFonts w:ascii="Google Sans Text" w:cs="Google Sans Text" w:eastAsia="Google Sans Text" w:hAnsi="Google Sans Text"/>
                <w:color w:val="444746"/>
                <w:sz w:val="24"/>
                <w:szCs w:val="24"/>
                <w:vertAlign w:val="superscript"/>
                <w:rtl w:val="0"/>
              </w:rPr>
              <w:t xml:space="preserve">89</w:t>
            </w:r>
          </w:p>
        </w:tc>
      </w:tr>
    </w:tbl>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Furthermore, the 16th FC recommended massive, restructured Grants-in-Aid. It recommended ₹7.91 lakh crore exclusively for local governments (Panchayati Raj Institutions and Urban Local Bodies) to foster deep democratic decentralization, dividing the pool 60:40 between rural and urban bodies, and explicitly tying a portion of these funds to performance in sanitation and solid waste management.</w:t>
      </w:r>
      <w:r w:rsidDel="00000000" w:rsidR="00000000" w:rsidRPr="00000000">
        <w:rPr>
          <w:rFonts w:ascii="Google Sans Text" w:cs="Google Sans Text" w:eastAsia="Google Sans Text" w:hAnsi="Google Sans Text"/>
          <w:color w:val="444746"/>
          <w:sz w:val="24"/>
          <w:szCs w:val="24"/>
          <w:vertAlign w:val="superscript"/>
          <w:rtl w:val="0"/>
        </w:rPr>
        <w:t xml:space="preserve">91</w:t>
      </w:r>
      <w:r w:rsidDel="00000000" w:rsidR="00000000" w:rsidRPr="00000000">
        <w:rPr>
          <w:rFonts w:ascii="Google Sans Text" w:cs="Google Sans Text" w:eastAsia="Google Sans Text" w:hAnsi="Google Sans Text"/>
          <w:color w:val="1f1f1f"/>
          <w:rtl w:val="0"/>
        </w:rPr>
        <w:t xml:space="preserve"> Concurrently, it discontinued the 15th FC's practice of providing revenue deficit grants and sector-specific grants, forcing states to rely more on their devolved tax share and enforce fiscal discipline.</w:t>
      </w:r>
      <w:r w:rsidDel="00000000" w:rsidR="00000000" w:rsidRPr="00000000">
        <w:rPr>
          <w:rFonts w:ascii="Google Sans Text" w:cs="Google Sans Text" w:eastAsia="Google Sans Text" w:hAnsi="Google Sans Text"/>
          <w:color w:val="444746"/>
          <w:sz w:val="24"/>
          <w:szCs w:val="24"/>
          <w:vertAlign w:val="superscript"/>
          <w:rtl w:val="0"/>
        </w:rPr>
        <w:t xml:space="preserve">91</w:t>
      </w:r>
    </w:p>
    <w:p w:rsidR="00000000" w:rsidDel="00000000" w:rsidP="00000000" w:rsidRDefault="00000000" w:rsidRPr="00000000" w14:paraId="000000BB">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VII. International Trade Theories</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theoretical foundations of global commerce dictate how nations interact, specialize, and integrate within the macroeconomic sphere. The evolution of trade theory demonstrates a shift from viewing trade as a zero-sum conflict to recognizing it as an engine for mutual welfare maximization.</w:t>
      </w:r>
    </w:p>
    <w:p w:rsidR="00000000" w:rsidDel="00000000" w:rsidP="00000000" w:rsidRDefault="00000000" w:rsidRPr="00000000" w14:paraId="000000BD">
      <w:pPr>
        <w:numPr>
          <w:ilvl w:val="0"/>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Mercantilism (16th–18th Century):</w:t>
      </w:r>
      <w:r w:rsidDel="00000000" w:rsidR="00000000" w:rsidRPr="00000000">
        <w:rPr>
          <w:rFonts w:ascii="Google Sans Text" w:cs="Google Sans Text" w:eastAsia="Google Sans Text" w:hAnsi="Google Sans Text"/>
          <w:color w:val="1f1f1f"/>
          <w:rtl w:val="0"/>
        </w:rPr>
        <w:t xml:space="preserve"> The earliest paradigm viewed global trade as a zero-sum game. The prevailing philosophy dictated that national power was derived from accumulating precious metals (gold and silver). Consequently, nations implemented highly protectionist policies, aggressively maximizing exports while heavily tariffing or banning imports to maintain a constant trade surplus.</w:t>
      </w:r>
      <w:r w:rsidDel="00000000" w:rsidR="00000000" w:rsidRPr="00000000">
        <w:rPr>
          <w:rFonts w:ascii="Google Sans Text" w:cs="Google Sans Text" w:eastAsia="Google Sans Text" w:hAnsi="Google Sans Text"/>
          <w:color w:val="444746"/>
          <w:sz w:val="24"/>
          <w:szCs w:val="24"/>
          <w:vertAlign w:val="superscript"/>
          <w:rtl w:val="0"/>
        </w:rPr>
        <w:t xml:space="preserve">93</w:t>
      </w:r>
    </w:p>
    <w:p w:rsidR="00000000" w:rsidDel="00000000" w:rsidP="00000000" w:rsidRDefault="00000000" w:rsidRPr="00000000" w14:paraId="000000BE">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Theory of Absolute Advantage (Adam Smith, 1776):</w:t>
      </w:r>
      <w:r w:rsidDel="00000000" w:rsidR="00000000" w:rsidRPr="00000000">
        <w:rPr>
          <w:rFonts w:ascii="Google Sans Text" w:cs="Google Sans Text" w:eastAsia="Google Sans Text" w:hAnsi="Google Sans Text"/>
          <w:color w:val="1f1f1f"/>
          <w:rtl w:val="0"/>
        </w:rPr>
        <w:t xml:space="preserve"> In </w:t>
      </w:r>
      <w:r w:rsidDel="00000000" w:rsidR="00000000" w:rsidRPr="00000000">
        <w:rPr>
          <w:rFonts w:ascii="Google Sans Text" w:cs="Google Sans Text" w:eastAsia="Google Sans Text" w:hAnsi="Google Sans Text"/>
          <w:i w:val="1"/>
          <w:iCs w:val="1"/>
          <w:color w:val="1f1f1f"/>
          <w:rtl w:val="0"/>
        </w:rPr>
        <w:t xml:space="preserve">The Wealth of Nations</w:t>
      </w:r>
      <w:r w:rsidDel="00000000" w:rsidR="00000000" w:rsidRPr="00000000">
        <w:rPr>
          <w:rFonts w:ascii="Google Sans Text" w:cs="Google Sans Text" w:eastAsia="Google Sans Text" w:hAnsi="Google Sans Text"/>
          <w:color w:val="1f1f1f"/>
          <w:rtl w:val="0"/>
        </w:rPr>
        <w:t xml:space="preserve">, Smith dismantled mercantilism, proving that trade is a positive-sum game. He argued that if Country A can produce a specific good more efficiently (using fewer absolute labor hours or resources) than Country B, Country A holds an absolute advantage. By abandoning tariffs and allowing countries to specialize in what they produce most efficiently, total global output increases, and both nations benefit through free exchange.</w:t>
      </w:r>
      <w:r w:rsidDel="00000000" w:rsidR="00000000" w:rsidRPr="00000000">
        <w:rPr>
          <w:rFonts w:ascii="Google Sans Text" w:cs="Google Sans Text" w:eastAsia="Google Sans Text" w:hAnsi="Google Sans Text"/>
          <w:color w:val="444746"/>
          <w:sz w:val="24"/>
          <w:szCs w:val="24"/>
          <w:vertAlign w:val="superscript"/>
          <w:rtl w:val="0"/>
        </w:rPr>
        <w:t xml:space="preserve">95</w:t>
      </w:r>
    </w:p>
    <w:p w:rsidR="00000000" w:rsidDel="00000000" w:rsidP="00000000" w:rsidRDefault="00000000" w:rsidRPr="00000000" w14:paraId="000000BF">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Theory of Comparative Advantage (David Ricardo, 1817):</w:t>
      </w:r>
      <w:r w:rsidDel="00000000" w:rsidR="00000000" w:rsidRPr="00000000">
        <w:rPr>
          <w:rFonts w:ascii="Google Sans Text" w:cs="Google Sans Text" w:eastAsia="Google Sans Text" w:hAnsi="Google Sans Text"/>
          <w:color w:val="1f1f1f"/>
          <w:rtl w:val="0"/>
        </w:rPr>
        <w:t xml:space="preserve"> Ricardo profoundly expanded trade theory by introducing the concept of </w:t>
      </w:r>
      <w:r w:rsidDel="00000000" w:rsidR="00000000" w:rsidRPr="00000000">
        <w:rPr>
          <w:rFonts w:ascii="Google Sans Text" w:cs="Google Sans Text" w:eastAsia="Google Sans Text" w:hAnsi="Google Sans Text"/>
          <w:i w:val="1"/>
          <w:iCs w:val="1"/>
          <w:color w:val="1f1f1f"/>
          <w:rtl w:val="0"/>
        </w:rPr>
        <w:t xml:space="preserve">opportunity cost</w:t>
      </w:r>
      <w:r w:rsidDel="00000000" w:rsidR="00000000" w:rsidRPr="00000000">
        <w:rPr>
          <w:rFonts w:ascii="Google Sans Text" w:cs="Google Sans Text" w:eastAsia="Google Sans Text" w:hAnsi="Google Sans Text"/>
          <w:color w:val="1f1f1f"/>
          <w:rtl w:val="0"/>
        </w:rPr>
        <w:t xml:space="preserve">. He demonstrated that even if one nation is absolutely more efficient at producing </w:t>
      </w:r>
      <w:r w:rsidDel="00000000" w:rsidR="00000000" w:rsidRPr="00000000">
        <w:rPr>
          <w:rFonts w:ascii="Google Sans Text" w:cs="Google Sans Text" w:eastAsia="Google Sans Text" w:hAnsi="Google Sans Text"/>
          <w:i w:val="1"/>
          <w:iCs w:val="1"/>
          <w:color w:val="1f1f1f"/>
          <w:rtl w:val="0"/>
        </w:rPr>
        <w:t xml:space="preserve">all</w:t>
      </w:r>
      <w:r w:rsidDel="00000000" w:rsidR="00000000" w:rsidRPr="00000000">
        <w:rPr>
          <w:rFonts w:ascii="Google Sans Text" w:cs="Google Sans Text" w:eastAsia="Google Sans Text" w:hAnsi="Google Sans Text"/>
          <w:color w:val="1f1f1f"/>
          <w:rtl w:val="0"/>
        </w:rPr>
        <w:t xml:space="preserve"> goods than its trading partner, mutually beneficial trade is still possible and necessary. A country should specialize in producing the good where its relative disadvantage is smallest—meaning it gives up the least amount of other goods to produce it. Differences in opportunity costs guarantee that specialization and trade increase total consumption possibilities for all parties.</w:t>
      </w:r>
      <w:r w:rsidDel="00000000" w:rsidR="00000000" w:rsidRPr="00000000">
        <w:rPr>
          <w:rFonts w:ascii="Google Sans Text" w:cs="Google Sans Text" w:eastAsia="Google Sans Text" w:hAnsi="Google Sans Text"/>
          <w:color w:val="444746"/>
          <w:sz w:val="24"/>
          <w:szCs w:val="24"/>
          <w:vertAlign w:val="superscript"/>
          <w:rtl w:val="0"/>
        </w:rPr>
        <w:t xml:space="preserve">97</w:t>
      </w:r>
    </w:p>
    <w:p w:rsidR="00000000" w:rsidDel="00000000" w:rsidP="00000000" w:rsidRDefault="00000000" w:rsidRPr="00000000" w14:paraId="000000C0">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Heckscher-Ohlin Model (Factor Proportions Theory, Early 1900s):</w:t>
      </w:r>
      <w:r w:rsidDel="00000000" w:rsidR="00000000" w:rsidRPr="00000000">
        <w:rPr>
          <w:rFonts w:ascii="Google Sans Text" w:cs="Google Sans Text" w:eastAsia="Google Sans Text" w:hAnsi="Google Sans Text"/>
          <w:color w:val="1f1f1f"/>
          <w:rtl w:val="0"/>
        </w:rPr>
        <w:t xml:space="preserve"> While Ricardo proved </w:t>
      </w:r>
      <w:r w:rsidDel="00000000" w:rsidR="00000000" w:rsidRPr="00000000">
        <w:rPr>
          <w:rFonts w:ascii="Google Sans Text" w:cs="Google Sans Text" w:eastAsia="Google Sans Text" w:hAnsi="Google Sans Text"/>
          <w:i w:val="1"/>
          <w:iCs w:val="1"/>
          <w:color w:val="1f1f1f"/>
          <w:rtl w:val="0"/>
        </w:rPr>
        <w:t xml:space="preserve">that</w:t>
      </w:r>
      <w:r w:rsidDel="00000000" w:rsidR="00000000" w:rsidRPr="00000000">
        <w:rPr>
          <w:rFonts w:ascii="Google Sans Text" w:cs="Google Sans Text" w:eastAsia="Google Sans Text" w:hAnsi="Google Sans Text"/>
          <w:color w:val="1f1f1f"/>
          <w:rtl w:val="0"/>
        </w:rPr>
        <w:t xml:space="preserve"> comparative advantage exists, Swedish economists Eli Heckscher and Bertil Ohlin explained </w:t>
      </w:r>
      <w:r w:rsidDel="00000000" w:rsidR="00000000" w:rsidRPr="00000000">
        <w:rPr>
          <w:rFonts w:ascii="Google Sans Text" w:cs="Google Sans Text" w:eastAsia="Google Sans Text" w:hAnsi="Google Sans Text"/>
          <w:i w:val="1"/>
          <w:iCs w:val="1"/>
          <w:color w:val="1f1f1f"/>
          <w:rtl w:val="0"/>
        </w:rPr>
        <w:t xml:space="preserve">why</w:t>
      </w:r>
      <w:r w:rsidDel="00000000" w:rsidR="00000000" w:rsidRPr="00000000">
        <w:rPr>
          <w:rFonts w:ascii="Google Sans Text" w:cs="Google Sans Text" w:eastAsia="Google Sans Text" w:hAnsi="Google Sans Text"/>
          <w:color w:val="1f1f1f"/>
          <w:rtl w:val="0"/>
        </w:rPr>
        <w:t xml:space="preserve"> it exists. The H-O model posits that comparative advantage arises from differences in national factor endowments (land, labor, capital). A country will inherently possess a comparative advantage in, and therefore export, goods that intensively utilize the factors of production it possesses in abundant and cheap supply. Conversely, it will import goods that require factors that are locally scarce.</w:t>
      </w:r>
      <w:r w:rsidDel="00000000" w:rsidR="00000000" w:rsidRPr="00000000">
        <w:rPr>
          <w:rFonts w:ascii="Google Sans Text" w:cs="Google Sans Text" w:eastAsia="Google Sans Text" w:hAnsi="Google Sans Text"/>
          <w:color w:val="444746"/>
          <w:sz w:val="24"/>
          <w:szCs w:val="24"/>
          <w:vertAlign w:val="superscript"/>
          <w:rtl w:val="0"/>
        </w:rPr>
        <w:t xml:space="preserve">95</w:t>
      </w:r>
      <w:r w:rsidDel="00000000" w:rsidR="00000000" w:rsidRPr="00000000">
        <w:rPr>
          <w:rFonts w:ascii="Google Sans Text" w:cs="Google Sans Text" w:eastAsia="Google Sans Text" w:hAnsi="Google Sans Text"/>
          <w:color w:val="1f1f1f"/>
          <w:rtl w:val="0"/>
        </w:rPr>
        <w:t xml:space="preserve"> (For example, a labor-abundant country like India exports labor-intensive textiles, while a capital-abundant country exports capital-intensive machinery).</w:t>
      </w:r>
    </w:p>
    <w:p w:rsidR="00000000" w:rsidDel="00000000" w:rsidP="00000000" w:rsidRDefault="00000000" w:rsidRPr="00000000" w14:paraId="000000C1">
      <w:pPr>
        <w:numPr>
          <w:ilvl w:val="0"/>
          <w:numId w:val="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New Trade Theory (1970s–1980s):</w:t>
      </w:r>
      <w:r w:rsidDel="00000000" w:rsidR="00000000" w:rsidRPr="00000000">
        <w:rPr>
          <w:rFonts w:ascii="Google Sans Text" w:cs="Google Sans Text" w:eastAsia="Google Sans Text" w:hAnsi="Google Sans Text"/>
          <w:color w:val="1f1f1f"/>
          <w:rtl w:val="0"/>
        </w:rPr>
        <w:t xml:space="preserve"> Developed by economists like Paul Krugman, NTT addresses the empirical reality that the vast majority of modern global trade occurs between developed countries that have nearly identical factor endowments, exchanging similar goods within the same industries (intra-industry trade—e.g., Europe and the US trading automobiles with each other). NTT relaxes the classical assumption of constant returns to scale. It argues that due to </w:t>
      </w:r>
      <w:r w:rsidDel="00000000" w:rsidR="00000000" w:rsidRPr="00000000">
        <w:rPr>
          <w:rFonts w:ascii="Google Sans Text" w:cs="Google Sans Text" w:eastAsia="Google Sans Text" w:hAnsi="Google Sans Text"/>
          <w:b w:val="1"/>
          <w:bCs w:val="1"/>
          <w:color w:val="1f1f1f"/>
          <w:rtl w:val="0"/>
        </w:rPr>
        <w:t xml:space="preserve">increasing returns to scale (economies of scale)</w:t>
      </w:r>
      <w:r w:rsidDel="00000000" w:rsidR="00000000" w:rsidRPr="00000000">
        <w:rPr>
          <w:rFonts w:ascii="Google Sans Text" w:cs="Google Sans Text" w:eastAsia="Google Sans Text" w:hAnsi="Google Sans Text"/>
          <w:color w:val="1f1f1f"/>
          <w:rtl w:val="0"/>
        </w:rPr>
        <w:t xml:space="preserve"> and </w:t>
      </w:r>
      <w:r w:rsidDel="00000000" w:rsidR="00000000" w:rsidRPr="00000000">
        <w:rPr>
          <w:rFonts w:ascii="Google Sans Text" w:cs="Google Sans Text" w:eastAsia="Google Sans Text" w:hAnsi="Google Sans Text"/>
          <w:b w:val="1"/>
          <w:bCs w:val="1"/>
          <w:color w:val="1f1f1f"/>
          <w:rtl w:val="0"/>
        </w:rPr>
        <w:t xml:space="preserve">network effects</w:t>
      </w:r>
      <w:r w:rsidDel="00000000" w:rsidR="00000000" w:rsidRPr="00000000">
        <w:rPr>
          <w:rFonts w:ascii="Google Sans Text" w:cs="Google Sans Text" w:eastAsia="Google Sans Text" w:hAnsi="Google Sans Text"/>
          <w:color w:val="1f1f1f"/>
          <w:rtl w:val="0"/>
        </w:rPr>
        <w:t xml:space="preserve">, early entrants in an industry can produce at massively lower unit costs. Countries specialize in highly specific niche products to achieve these economies of scale, and then trade these niches with each other, granting consumers access to a wider variety of goods at lower prices than could be achieved in autarky.</w:t>
      </w:r>
      <w:r w:rsidDel="00000000" w:rsidR="00000000" w:rsidRPr="00000000">
        <w:rPr>
          <w:rFonts w:ascii="Google Sans Text" w:cs="Google Sans Text" w:eastAsia="Google Sans Text" w:hAnsi="Google Sans Text"/>
          <w:color w:val="444746"/>
          <w:sz w:val="24"/>
          <w:szCs w:val="24"/>
          <w:vertAlign w:val="superscript"/>
          <w:rtl w:val="0"/>
        </w:rPr>
        <w:t xml:space="preserve">99</w:t>
      </w:r>
    </w:p>
    <w:p w:rsidR="00000000" w:rsidDel="00000000" w:rsidP="00000000" w:rsidRDefault="00000000" w:rsidRPr="00000000" w14:paraId="000000C2">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VIII. Contemporary Macroeconomic Dashboard (2021–2025)</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most recent data encapsulated in the Economic Survey 2025-26 and the Union Budget 2025-26 reveals an Indian economy that has successfully navigated global inflationary shocks, aggressive monetary tightening in advanced economies, and deep geopolitical fragmentation to emerge with robust macroeconomic fundamentals.</w:t>
      </w:r>
    </w:p>
    <w:p w:rsidR="00000000" w:rsidDel="00000000" w:rsidP="00000000" w:rsidRDefault="00000000" w:rsidRPr="00000000" w14:paraId="000000C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Growth and Domestic Demand</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India has entrenched its position as the fastest-growing major economy. The First Advance Estimates place India's real GDP growth for FY26 at an impressive </w:t>
      </w:r>
      <w:r w:rsidDel="00000000" w:rsidR="00000000" w:rsidRPr="00000000">
        <w:rPr>
          <w:rFonts w:ascii="Google Sans Text" w:cs="Google Sans Text" w:eastAsia="Google Sans Text" w:hAnsi="Google Sans Text"/>
          <w:b w:val="1"/>
          <w:bCs w:val="1"/>
          <w:color w:val="1f1f1f"/>
          <w:rtl w:val="0"/>
        </w:rPr>
        <w:t xml:space="preserve">7.4%</w:t>
      </w:r>
      <w:r w:rsidDel="00000000" w:rsidR="00000000" w:rsidRPr="00000000">
        <w:rPr>
          <w:rFonts w:ascii="Google Sans Text" w:cs="Google Sans Text" w:eastAsia="Google Sans Text" w:hAnsi="Google Sans Text"/>
          <w:color w:val="1f1f1f"/>
          <w:rtl w:val="0"/>
        </w:rPr>
        <w:t xml:space="preserve">, with Gross Value Added (GVA) expanding at 7.3%.</w:t>
      </w:r>
      <w:r w:rsidDel="00000000" w:rsidR="00000000" w:rsidRPr="00000000">
        <w:rPr>
          <w:rFonts w:ascii="Google Sans Text" w:cs="Google Sans Text" w:eastAsia="Google Sans Text" w:hAnsi="Google Sans Text"/>
          <w:color w:val="444746"/>
          <w:sz w:val="24"/>
          <w:szCs w:val="24"/>
          <w:vertAlign w:val="superscript"/>
          <w:rtl w:val="0"/>
        </w:rPr>
        <w:t xml:space="preserve">100</w:t>
      </w:r>
      <w:r w:rsidDel="00000000" w:rsidR="00000000" w:rsidRPr="00000000">
        <w:rPr>
          <w:rFonts w:ascii="Google Sans Text" w:cs="Google Sans Text" w:eastAsia="Google Sans Text" w:hAnsi="Google Sans Text"/>
          <w:color w:val="1f1f1f"/>
          <w:rtl w:val="0"/>
        </w:rPr>
        <w:t xml:space="preserve"> The International Monetary Fund (IMF) and the Economic Survey project a structural stabilization, with FY27 GDP growth forecast in the range of 6.8% to 7.2%, indicating that India's potential growth rate has been pushed up to approximately 7%.</w:t>
      </w:r>
      <w:r w:rsidDel="00000000" w:rsidR="00000000" w:rsidRPr="00000000">
        <w:rPr>
          <w:rFonts w:ascii="Google Sans Text" w:cs="Google Sans Text" w:eastAsia="Google Sans Text" w:hAnsi="Google Sans Text"/>
          <w:color w:val="444746"/>
          <w:sz w:val="24"/>
          <w:szCs w:val="24"/>
          <w:vertAlign w:val="superscript"/>
          <w:rtl w:val="0"/>
        </w:rPr>
        <w:t xml:space="preserve">74</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Unlike many export-reliant Asian economies, India's growth is overwhelmingly insulated by domestic demand. Private Final Consumption Expenditure (PFCE) grew by 7.0% in FY26, accounting for 61.5% of GDP—the highest share recorded since 2012.</w:t>
      </w:r>
      <w:r w:rsidDel="00000000" w:rsidR="00000000" w:rsidRPr="00000000">
        <w:rPr>
          <w:rFonts w:ascii="Google Sans Text" w:cs="Google Sans Text" w:eastAsia="Google Sans Text" w:hAnsi="Google Sans Text"/>
          <w:color w:val="444746"/>
          <w:sz w:val="24"/>
          <w:szCs w:val="24"/>
          <w:vertAlign w:val="superscript"/>
          <w:rtl w:val="0"/>
        </w:rPr>
        <w:t xml:space="preserve">100</w:t>
      </w:r>
      <w:r w:rsidDel="00000000" w:rsidR="00000000" w:rsidRPr="00000000">
        <w:rPr>
          <w:rFonts w:ascii="Google Sans Text" w:cs="Google Sans Text" w:eastAsia="Google Sans Text" w:hAnsi="Google Sans Text"/>
          <w:color w:val="1f1f1f"/>
          <w:rtl w:val="0"/>
        </w:rPr>
        <w:t xml:space="preserve"> This consumption boom is supported by a recovering rural sector (bolstered by record foodgrain production of 3577 LMT), rising real incomes, and the front-loading of government capital expenditure, which has scaled from a pre-pandemic average of 2.7% of GDP to 4.0% in FY25.</w:t>
      </w:r>
      <w:r w:rsidDel="00000000" w:rsidR="00000000" w:rsidRPr="00000000">
        <w:rPr>
          <w:rFonts w:ascii="Google Sans Text" w:cs="Google Sans Text" w:eastAsia="Google Sans Text" w:hAnsi="Google Sans Text"/>
          <w:color w:val="444746"/>
          <w:sz w:val="24"/>
          <w:szCs w:val="24"/>
          <w:vertAlign w:val="superscript"/>
          <w:rtl w:val="0"/>
        </w:rPr>
        <w:t xml:space="preserve">47</w:t>
      </w:r>
    </w:p>
    <w:p w:rsidR="00000000" w:rsidDel="00000000" w:rsidP="00000000" w:rsidRDefault="00000000" w:rsidRPr="00000000" w14:paraId="000000C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Inflation, Employment, and Poverty Reduction</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India has achieved a rare "Goldilocks" scenario of high growth paired with deeply anchored price stability. Headline retail inflation (CPI) plummeted to an average of just </w:t>
      </w:r>
      <w:r w:rsidDel="00000000" w:rsidR="00000000" w:rsidRPr="00000000">
        <w:rPr>
          <w:rFonts w:ascii="Google Sans Text" w:cs="Google Sans Text" w:eastAsia="Google Sans Text" w:hAnsi="Google Sans Text"/>
          <w:b w:val="1"/>
          <w:bCs w:val="1"/>
          <w:color w:val="1f1f1f"/>
          <w:rtl w:val="0"/>
        </w:rPr>
        <w:t xml:space="preserve">1.7% between April and December 2025</w:t>
      </w:r>
      <w:r w:rsidDel="00000000" w:rsidR="00000000" w:rsidRPr="00000000">
        <w:rPr>
          <w:rFonts w:ascii="Google Sans Text" w:cs="Google Sans Text" w:eastAsia="Google Sans Text" w:hAnsi="Google Sans Text"/>
          <w:color w:val="1f1f1f"/>
          <w:rtl w:val="0"/>
        </w:rPr>
        <w:t xml:space="preserve">—the lowest rate recorded in the current CPI series.</w:t>
      </w:r>
      <w:r w:rsidDel="00000000" w:rsidR="00000000" w:rsidRPr="00000000">
        <w:rPr>
          <w:rFonts w:ascii="Google Sans Text" w:cs="Google Sans Text" w:eastAsia="Google Sans Text" w:hAnsi="Google Sans Text"/>
          <w:color w:val="444746"/>
          <w:sz w:val="24"/>
          <w:szCs w:val="24"/>
          <w:vertAlign w:val="superscript"/>
          <w:rtl w:val="0"/>
        </w:rPr>
        <w:t xml:space="preserve">100</w:t>
      </w:r>
      <w:r w:rsidDel="00000000" w:rsidR="00000000" w:rsidRPr="00000000">
        <w:rPr>
          <w:rFonts w:ascii="Google Sans Text" w:cs="Google Sans Text" w:eastAsia="Google Sans Text" w:hAnsi="Google Sans Text"/>
          <w:color w:val="1f1f1f"/>
          <w:rtl w:val="0"/>
        </w:rPr>
        <w:t xml:space="preserve"> This drastic disinflation was driven primarily by a collapse in food and fuel prices, shielding the purchasing power of the lower-income demographic.</w:t>
      </w:r>
      <w:r w:rsidDel="00000000" w:rsidR="00000000" w:rsidRPr="00000000">
        <w:rPr>
          <w:rFonts w:ascii="Google Sans Text" w:cs="Google Sans Text" w:eastAsia="Google Sans Text" w:hAnsi="Google Sans Text"/>
          <w:color w:val="444746"/>
          <w:sz w:val="24"/>
          <w:szCs w:val="24"/>
          <w:vertAlign w:val="superscript"/>
          <w:rtl w:val="0"/>
        </w:rPr>
        <w:t xml:space="preserve">100</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labor market exhibits continuous structural strengthening, moving past pandemic-era scarring. Data from the Periodic Labour Force Survey (PLFS) indicates that the overall Labour Force Participation Rate (LFPR) for persons aged 15 and above rose to 56.1% by December 2025.</w:t>
      </w:r>
      <w:r w:rsidDel="00000000" w:rsidR="00000000" w:rsidRPr="00000000">
        <w:rPr>
          <w:rFonts w:ascii="Google Sans Text" w:cs="Google Sans Text" w:eastAsia="Google Sans Text" w:hAnsi="Google Sans Text"/>
          <w:color w:val="444746"/>
          <w:sz w:val="24"/>
          <w:szCs w:val="24"/>
          <w:vertAlign w:val="superscript"/>
          <w:rtl w:val="0"/>
        </w:rPr>
        <w:t xml:space="preserve">102</w:t>
      </w:r>
      <w:r w:rsidDel="00000000" w:rsidR="00000000" w:rsidRPr="00000000">
        <w:rPr>
          <w:rFonts w:ascii="Google Sans Text" w:cs="Google Sans Text" w:eastAsia="Google Sans Text" w:hAnsi="Google Sans Text"/>
          <w:color w:val="1f1f1f"/>
          <w:rtl w:val="0"/>
        </w:rPr>
        <w:t xml:space="preserve"> Notably, the Female LFPR has seen a dramatic structural improvement, rising from a dismal 23.3% in 2017-18 to 41.7% by 2023-24, reflecting improving inclusivity and economic formalization.</w:t>
      </w:r>
      <w:r w:rsidDel="00000000" w:rsidR="00000000" w:rsidRPr="00000000">
        <w:rPr>
          <w:rFonts w:ascii="Google Sans Text" w:cs="Google Sans Text" w:eastAsia="Google Sans Text" w:hAnsi="Google Sans Text"/>
          <w:color w:val="444746"/>
          <w:sz w:val="24"/>
          <w:szCs w:val="24"/>
          <w:vertAlign w:val="superscript"/>
          <w:rtl w:val="0"/>
        </w:rPr>
        <w:t xml:space="preserve">100</w:t>
      </w:r>
      <w:r w:rsidDel="00000000" w:rsidR="00000000" w:rsidRPr="00000000">
        <w:rPr>
          <w:rFonts w:ascii="Google Sans Text" w:cs="Google Sans Text" w:eastAsia="Google Sans Text" w:hAnsi="Google Sans Text"/>
          <w:color w:val="1f1f1f"/>
          <w:rtl w:val="0"/>
        </w:rPr>
        <w:t xml:space="preserve"> Concurrently, the total unemployment rate declined to a highly manageable 4.8% by December 2025.</w:t>
      </w:r>
      <w:r w:rsidDel="00000000" w:rsidR="00000000" w:rsidRPr="00000000">
        <w:rPr>
          <w:rFonts w:ascii="Google Sans Text" w:cs="Google Sans Text" w:eastAsia="Google Sans Text" w:hAnsi="Google Sans Text"/>
          <w:color w:val="444746"/>
          <w:sz w:val="24"/>
          <w:szCs w:val="24"/>
          <w:vertAlign w:val="superscript"/>
          <w:rtl w:val="0"/>
        </w:rPr>
        <w:t xml:space="preserve">102</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Poverty alleviation metrics represent a historic success. Based on the World Bank's revised International Poverty Line (IPL) of $3.00 a day (adjusted to 2021 purchasing power parity), India's extreme poverty rate has dropped to just </w:t>
      </w:r>
      <w:r w:rsidDel="00000000" w:rsidR="00000000" w:rsidRPr="00000000">
        <w:rPr>
          <w:rFonts w:ascii="Google Sans Text" w:cs="Google Sans Text" w:eastAsia="Google Sans Text" w:hAnsi="Google Sans Text"/>
          <w:b w:val="1"/>
          <w:bCs w:val="1"/>
          <w:color w:val="1f1f1f"/>
          <w:rtl w:val="0"/>
        </w:rPr>
        <w:t xml:space="preserve">5.3%</w:t>
      </w:r>
      <w:r w:rsidDel="00000000" w:rsidR="00000000" w:rsidRPr="00000000">
        <w:rPr>
          <w:rFonts w:ascii="Google Sans Text" w:cs="Google Sans Text" w:eastAsia="Google Sans Text" w:hAnsi="Google Sans Text"/>
          <w:color w:val="1f1f1f"/>
          <w:rtl w:val="0"/>
        </w:rPr>
        <w:t xml:space="preserve">, with broader multidimensional poverty rates now falling well below 15%.</w:t>
      </w:r>
      <w:r w:rsidDel="00000000" w:rsidR="00000000" w:rsidRPr="00000000">
        <w:rPr>
          <w:rFonts w:ascii="Google Sans Text" w:cs="Google Sans Text" w:eastAsia="Google Sans Text" w:hAnsi="Google Sans Text"/>
          <w:color w:val="444746"/>
          <w:sz w:val="24"/>
          <w:szCs w:val="24"/>
          <w:vertAlign w:val="superscript"/>
          <w:rtl w:val="0"/>
        </w:rPr>
        <w:t xml:space="preserve">28</w:t>
      </w:r>
      <w:r w:rsidDel="00000000" w:rsidR="00000000" w:rsidRPr="00000000">
        <w:rPr>
          <w:rFonts w:ascii="Google Sans Text" w:cs="Google Sans Text" w:eastAsia="Google Sans Text" w:hAnsi="Google Sans Text"/>
          <w:color w:val="1f1f1f"/>
          <w:rtl w:val="0"/>
        </w:rPr>
        <w:t xml:space="preserve"> This is heavily supported by the fact that general government social services expenditure (SSE) has risen to 7.9% of GDP in the FY26 budget.</w:t>
      </w:r>
      <w:r w:rsidDel="00000000" w:rsidR="00000000" w:rsidRPr="00000000">
        <w:rPr>
          <w:rFonts w:ascii="Google Sans Text" w:cs="Google Sans Text" w:eastAsia="Google Sans Text" w:hAnsi="Google Sans Text"/>
          <w:color w:val="444746"/>
          <w:sz w:val="24"/>
          <w:szCs w:val="24"/>
          <w:vertAlign w:val="superscript"/>
          <w:rtl w:val="0"/>
        </w:rPr>
        <w:t xml:space="preserve">102</w:t>
      </w:r>
    </w:p>
    <w:p w:rsidR="00000000" w:rsidDel="00000000" w:rsidP="00000000" w:rsidRDefault="00000000" w:rsidRPr="00000000" w14:paraId="000000C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External Sector</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Despite global trade fragmentation and rising protectionist tariffs in the West, India's external sector remains highly resilient. Total exports reached record levels of $825.3 billion in FY25, heavily buoyed by the structural dominance of the services sector (IT, professional services, GCCs) which offset weaknesses in merchandise trade.</w:t>
      </w:r>
      <w:r w:rsidDel="00000000" w:rsidR="00000000" w:rsidRPr="00000000">
        <w:rPr>
          <w:rFonts w:ascii="Google Sans Text" w:cs="Google Sans Text" w:eastAsia="Google Sans Text" w:hAnsi="Google Sans Text"/>
          <w:color w:val="444746"/>
          <w:sz w:val="24"/>
          <w:szCs w:val="24"/>
          <w:vertAlign w:val="superscript"/>
          <w:rtl w:val="0"/>
        </w:rPr>
        <w:t xml:space="preserve">59</w:t>
      </w:r>
      <w:r w:rsidDel="00000000" w:rsidR="00000000" w:rsidRPr="00000000">
        <w:rPr>
          <w:rFonts w:ascii="Google Sans Text" w:cs="Google Sans Text" w:eastAsia="Google Sans Text" w:hAnsi="Google Sans Text"/>
          <w:color w:val="1f1f1f"/>
          <w:rtl w:val="0"/>
        </w:rPr>
        <w:t xml:space="preserve"> The Current Account Deficit (CAD) was contained at an exceedingly comfortable 0.8% of GDP in the first half of FY26.</w:t>
      </w:r>
      <w:r w:rsidDel="00000000" w:rsidR="00000000" w:rsidRPr="00000000">
        <w:rPr>
          <w:rFonts w:ascii="Google Sans Text" w:cs="Google Sans Text" w:eastAsia="Google Sans Text" w:hAnsi="Google Sans Text"/>
          <w:color w:val="444746"/>
          <w:sz w:val="24"/>
          <w:szCs w:val="24"/>
          <w:vertAlign w:val="superscript"/>
          <w:rtl w:val="0"/>
        </w:rPr>
        <w:t xml:space="preserve">59</w:t>
      </w:r>
      <w:r w:rsidDel="00000000" w:rsidR="00000000" w:rsidRPr="00000000">
        <w:rPr>
          <w:rFonts w:ascii="Google Sans Text" w:cs="Google Sans Text" w:eastAsia="Google Sans Text" w:hAnsi="Google Sans Text"/>
          <w:color w:val="1f1f1f"/>
          <w:rtl w:val="0"/>
        </w:rPr>
        <w:t xml:space="preserve"> By early 2026, India's foreign exchange reserves had swelled to over $650 billion, sufficient to cover 11 months of imports and totally inoculating the economy against external balance-of-payments shocks.</w:t>
      </w:r>
      <w:r w:rsidDel="00000000" w:rsidR="00000000" w:rsidRPr="00000000">
        <w:rPr>
          <w:rFonts w:ascii="Google Sans Text" w:cs="Google Sans Text" w:eastAsia="Google Sans Text" w:hAnsi="Google Sans Text"/>
          <w:color w:val="444746"/>
          <w:sz w:val="24"/>
          <w:szCs w:val="24"/>
          <w:vertAlign w:val="superscript"/>
          <w:rtl w:val="0"/>
        </w:rPr>
        <w:t xml:space="preserve">28</w:t>
      </w:r>
    </w:p>
    <w:p w:rsidR="00000000" w:rsidDel="00000000" w:rsidP="00000000" w:rsidRDefault="00000000" w:rsidRPr="00000000" w14:paraId="000000CD">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IX. Reference Framework: Major Economic Committees</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Throughout India's economic history, specialized expert committees have fundamentally shaped the architecture of public policy, taxation, and financial regulation. The following framework serves as a critical revision tool for the CUET PG syllabus:</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1f1f1f"/>
        </w:rPr>
      </w:pPr>
      <w:r w:rsidDel="00000000" w:rsidR="00000000" w:rsidRPr="00000000">
        <w:rPr>
          <w:rtl w:val="0"/>
        </w:rPr>
      </w:r>
    </w:p>
    <w:tbl>
      <w:tblPr>
        <w:tblStyle w:val="Table5"/>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Committee Name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 / Era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Core Area of Recommendation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Focus and Historical Mandate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Narasimham Committee I &amp; II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1991, 1998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Banking &amp; Finance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Provided the foundational blueprint for India's modern banking sector. Recommended slashing Statutory Liquidity Ratios (SLR) and Cash Reserve Ratios (CRR), introducing Basel capital adequacy norms, deregulating interest rates, and establishing frameworks to tackle Non-Performing Assets (NPAs) through Asset Reconstruction Companies.</w:t>
            </w:r>
            <w:r w:rsidDel="00000000" w:rsidR="00000000" w:rsidRPr="00000000">
              <w:rPr>
                <w:rFonts w:ascii="Google Sans Text" w:cs="Google Sans Text" w:eastAsia="Google Sans Text" w:hAnsi="Google Sans Text"/>
                <w:color w:val="444746"/>
                <w:sz w:val="24"/>
                <w:szCs w:val="24"/>
                <w:vertAlign w:val="superscript"/>
                <w:rtl w:val="0"/>
              </w:rPr>
              <w:t xml:space="preserve">104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Raja Chelliah 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Taxation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architect of India's post-liberalization tax regime. Recommended lowering exorbitant marginal direct tax rates, broadening the narrow tax base, and simplifying complex indirect tax structures to improve compliance and revenue buoyancy.</w:t>
            </w:r>
            <w:r w:rsidDel="00000000" w:rsidR="00000000" w:rsidRPr="00000000">
              <w:rPr>
                <w:rFonts w:ascii="Google Sans Text" w:cs="Google Sans Text" w:eastAsia="Google Sans Text" w:hAnsi="Google Sans Text"/>
                <w:color w:val="444746"/>
                <w:sz w:val="24"/>
                <w:szCs w:val="24"/>
                <w:vertAlign w:val="superscript"/>
                <w:rtl w:val="0"/>
              </w:rPr>
              <w:t xml:space="preserve">106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Vijay Kelkar 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2002, 2012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Taxation &amp; Fiscal Policy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Pushed for deep structural tax rationalization, including the early conceptualization and roadmap for the Goods and Services Tax (GST). Also evaluated fiscal consolidation paths and proposed frameworks for scaling Public-Private Partnership (PPP) models in infrastructure.</w:t>
            </w:r>
            <w:r w:rsidDel="00000000" w:rsidR="00000000" w:rsidRPr="00000000">
              <w:rPr>
                <w:rFonts w:ascii="Google Sans Text" w:cs="Google Sans Text" w:eastAsia="Google Sans Text" w:hAnsi="Google Sans Text"/>
                <w:color w:val="444746"/>
                <w:sz w:val="24"/>
                <w:szCs w:val="24"/>
                <w:vertAlign w:val="superscript"/>
                <w:rtl w:val="0"/>
              </w:rPr>
              <w:t xml:space="preserve">104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Suresh Tendulkar 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2009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Poverty Estimation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Revolutionized poverty measurement by moving away from archaic calorie-intake-only models. Instituted a broader consumption basket approach that included expenditures on vital services like private health and education, leading to a more accurate (and statistically higher) reflection of poverty.</w:t>
            </w:r>
            <w:r w:rsidDel="00000000" w:rsidR="00000000" w:rsidRPr="00000000">
              <w:rPr>
                <w:rFonts w:ascii="Google Sans Text" w:cs="Google Sans Text" w:eastAsia="Google Sans Text" w:hAnsi="Google Sans Text"/>
                <w:color w:val="444746"/>
                <w:sz w:val="24"/>
                <w:szCs w:val="24"/>
                <w:vertAlign w:val="superscript"/>
                <w:rtl w:val="0"/>
              </w:rPr>
              <w:t xml:space="preserve">108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 Rangarajan 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2012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Poverty / Disinvestment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Formed to review the Tendulkar methodology, it adjusted the poverty lines upwards based on separate rural and urban consumption baskets. Rangarajan also chaired earlier, seminal committees on PSU disinvestment mechanisms and the expansion of financial inclusion.</w:t>
            </w:r>
            <w:r w:rsidDel="00000000" w:rsidR="00000000" w:rsidRPr="00000000">
              <w:rPr>
                <w:rFonts w:ascii="Google Sans Text" w:cs="Google Sans Text" w:eastAsia="Google Sans Text" w:hAnsi="Google Sans Text"/>
                <w:color w:val="444746"/>
                <w:sz w:val="24"/>
                <w:szCs w:val="24"/>
                <w:vertAlign w:val="superscript"/>
                <w:rtl w:val="0"/>
              </w:rPr>
              <w:t xml:space="preserve">105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Abid Hussain 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Industry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Suggested vital reforms for Small Scale Industries (SSIs), prominently recommending the phased de-reservation of products exclusively assigned to SSIs to allow domestic firms to achieve economies of scale and global competitiveness.</w:t>
            </w:r>
            <w:r w:rsidDel="00000000" w:rsidR="00000000" w:rsidRPr="00000000">
              <w:rPr>
                <w:rFonts w:ascii="Google Sans Text" w:cs="Google Sans Text" w:eastAsia="Google Sans Text" w:hAnsi="Google Sans Text"/>
                <w:color w:val="444746"/>
                <w:sz w:val="24"/>
                <w:szCs w:val="24"/>
                <w:vertAlign w:val="superscript"/>
                <w:rtl w:val="0"/>
              </w:rPr>
              <w:t xml:space="preserve">106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S.S. Tarapore 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External Sector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Assessed the macroeconomic preconditions, feasibility, and required road map for implementing full Capital Account Convertibility in India.</w:t>
            </w:r>
            <w:r w:rsidDel="00000000" w:rsidR="00000000" w:rsidRPr="00000000">
              <w:rPr>
                <w:rFonts w:ascii="Google Sans Text" w:cs="Google Sans Text" w:eastAsia="Google Sans Text" w:hAnsi="Google Sans Text"/>
                <w:color w:val="444746"/>
                <w:sz w:val="24"/>
                <w:szCs w:val="24"/>
                <w:vertAlign w:val="superscript"/>
                <w:rtl w:val="0"/>
              </w:rPr>
              <w:t xml:space="preserve">104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Chakravarty 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1985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Monetary Policy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Reviewed the working of the monetary system, recommending inflation targeting mechanisms and measures to improve the effectiveness of RBI monetary policy in promoting economic development.</w:t>
            </w:r>
            <w:r w:rsidDel="00000000" w:rsidR="00000000" w:rsidRPr="00000000">
              <w:rPr>
                <w:rFonts w:ascii="Google Sans Text" w:cs="Google Sans Text" w:eastAsia="Google Sans Text" w:hAnsi="Google Sans Text"/>
                <w:color w:val="444746"/>
                <w:sz w:val="24"/>
                <w:szCs w:val="24"/>
                <w:vertAlign w:val="superscript"/>
                <w:rtl w:val="0"/>
              </w:rPr>
              <w:t xml:space="preserve">106</w:t>
            </w:r>
          </w:p>
        </w:tc>
      </w:tr>
    </w:tbl>
    <w:p w:rsidR="00000000" w:rsidDel="00000000" w:rsidP="00000000" w:rsidRDefault="00000000" w:rsidRPr="00000000" w14:paraId="000000F4">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X. Comprehensive Revision Questionnaire</w:t>
      </w:r>
    </w:p>
    <w:p w:rsidR="00000000" w:rsidDel="00000000" w:rsidP="00000000" w:rsidRDefault="00000000" w:rsidRPr="00000000" w14:paraId="000000F5">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Colonial Macroeconomics:</w:t>
      </w:r>
      <w:r w:rsidDel="00000000" w:rsidR="00000000" w:rsidRPr="00000000">
        <w:rPr>
          <w:rFonts w:ascii="Google Sans Text" w:cs="Google Sans Text" w:eastAsia="Google Sans Text" w:hAnsi="Google Sans Text"/>
          <w:color w:val="1f1f1f"/>
          <w:rtl w:val="0"/>
        </w:rPr>
        <w:t xml:space="preserve"> How did the methodological framework employed by V.K.R.V. Rao in estimating the national income of colonial India differ fundamentally from the earlier, less scientific estimates produced by Dadabhai Naoroji and William Digby?</w:t>
      </w:r>
    </w:p>
    <w:p w:rsidR="00000000" w:rsidDel="00000000" w:rsidP="00000000" w:rsidRDefault="00000000" w:rsidRPr="00000000" w14:paraId="000000F6">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The De-industrialisation Debate:</w:t>
      </w:r>
      <w:r w:rsidDel="00000000" w:rsidR="00000000" w:rsidRPr="00000000">
        <w:rPr>
          <w:rFonts w:ascii="Google Sans Text" w:cs="Google Sans Text" w:eastAsia="Google Sans Text" w:hAnsi="Google Sans Text"/>
          <w:color w:val="1f1f1f"/>
          <w:rtl w:val="0"/>
        </w:rPr>
        <w:t xml:space="preserve"> Critically contrast the core arguments presented by Amiya Kumar Bagchi and Morris D. Morris regarding the de-industrialisation of the Indian economy in the 19th century. How does modern research synthesize these views?</w:t>
      </w:r>
    </w:p>
    <w:p w:rsidR="00000000" w:rsidDel="00000000" w:rsidP="00000000" w:rsidRDefault="00000000" w:rsidRPr="00000000" w14:paraId="000000F7">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Mechanisms of Exploitation:</w:t>
      </w:r>
      <w:r w:rsidDel="00000000" w:rsidR="00000000" w:rsidRPr="00000000">
        <w:rPr>
          <w:rFonts w:ascii="Google Sans Text" w:cs="Google Sans Text" w:eastAsia="Google Sans Text" w:hAnsi="Google Sans Text"/>
          <w:color w:val="1f1f1f"/>
          <w:rtl w:val="0"/>
        </w:rPr>
        <w:t xml:space="preserve"> Explain the precise financial mechanics of "Council Bills" and "Home Charges." How did these specific instruments bypass normal trade dynamics to facilitate the unilateral drain of wealth from India to Britain?</w:t>
      </w:r>
    </w:p>
    <w:p w:rsidR="00000000" w:rsidDel="00000000" w:rsidP="00000000" w:rsidRDefault="00000000" w:rsidRPr="00000000" w14:paraId="000000F8">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Corporate History:</w:t>
      </w:r>
      <w:r w:rsidDel="00000000" w:rsidR="00000000" w:rsidRPr="00000000">
        <w:rPr>
          <w:rFonts w:ascii="Google Sans Text" w:cs="Google Sans Text" w:eastAsia="Google Sans Text" w:hAnsi="Google Sans Text"/>
          <w:color w:val="1f1f1f"/>
          <w:rtl w:val="0"/>
        </w:rPr>
        <w:t xml:space="preserve"> Define the Managing Agency System. Discuss how it initially catalyzed early industrialization and capital pooling in India during the interwar period, but eventually devolved into a mechanism that hindered equitable corporate governance.</w:t>
      </w:r>
    </w:p>
    <w:p w:rsidR="00000000" w:rsidDel="00000000" w:rsidP="00000000" w:rsidRDefault="00000000" w:rsidRPr="00000000" w14:paraId="000000F9">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Economic Planning Models:</w:t>
      </w:r>
      <w:r w:rsidDel="00000000" w:rsidR="00000000" w:rsidRPr="00000000">
        <w:rPr>
          <w:rFonts w:ascii="Google Sans Text" w:cs="Google Sans Text" w:eastAsia="Google Sans Text" w:hAnsi="Google Sans Text"/>
          <w:color w:val="1f1f1f"/>
          <w:rtl w:val="0"/>
        </w:rPr>
        <w:t xml:space="preserve"> Compare and contrast the underlying economic models (Harrod-Domar vs. Nehru-Mahalanobis) and the primary sectoral objectives of the First Five-Year Plan and the Second Five-Year Plan. What were the macroeconomic consequences of the Second Plan's import substitution strategy?</w:t>
      </w:r>
    </w:p>
    <w:p w:rsidR="00000000" w:rsidDel="00000000" w:rsidP="00000000" w:rsidRDefault="00000000" w:rsidRPr="00000000" w14:paraId="000000FA">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Industrial Policy Evolution:</w:t>
      </w:r>
      <w:r w:rsidDel="00000000" w:rsidR="00000000" w:rsidRPr="00000000">
        <w:rPr>
          <w:rFonts w:ascii="Google Sans Text" w:cs="Google Sans Text" w:eastAsia="Google Sans Text" w:hAnsi="Google Sans Text"/>
          <w:color w:val="1f1f1f"/>
          <w:rtl w:val="0"/>
        </w:rPr>
        <w:t xml:space="preserve"> Outline the evolution of the public sector's role from the rigid classifications of the Industrial Policy Resolution of 1956 (Schedules A, B, and C) to the sweeping deregulations and de-licensing introduced by the New Economic Policy of 1991.</w:t>
      </w:r>
    </w:p>
    <w:p w:rsidR="00000000" w:rsidDel="00000000" w:rsidP="00000000" w:rsidRDefault="00000000" w:rsidRPr="00000000" w14:paraId="000000FB">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Agricultural Paradigms:</w:t>
      </w:r>
      <w:r w:rsidDel="00000000" w:rsidR="00000000" w:rsidRPr="00000000">
        <w:rPr>
          <w:rFonts w:ascii="Google Sans Text" w:cs="Google Sans Text" w:eastAsia="Google Sans Text" w:hAnsi="Google Sans Text"/>
          <w:color w:val="1f1f1f"/>
          <w:rtl w:val="0"/>
        </w:rPr>
        <w:t xml:space="preserve"> Trace the shift in agricultural policy from the institutional land reforms (zamindari abolition) of the 1950s to the technological interventions of the Green Revolution. Furthermore, how do modern interventions like the Kisan Credit Card (KCC) and PM-KISAN represent a shift toward income and credit support?</w:t>
      </w:r>
    </w:p>
    <w:p w:rsidR="00000000" w:rsidDel="00000000" w:rsidP="00000000" w:rsidRDefault="00000000" w:rsidRPr="00000000" w14:paraId="000000FC">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Public Economics:</w:t>
      </w:r>
      <w:r w:rsidDel="00000000" w:rsidR="00000000" w:rsidRPr="00000000">
        <w:rPr>
          <w:rFonts w:ascii="Google Sans Text" w:cs="Google Sans Text" w:eastAsia="Google Sans Text" w:hAnsi="Google Sans Text"/>
          <w:color w:val="1f1f1f"/>
          <w:rtl w:val="0"/>
        </w:rPr>
        <w:t xml:space="preserve"> Define the theoretical concept of a "pure public good" using the properties of non-rivalry and non-excludability. Explain why the presence of the free-rider problem necessitates the government provision of such goods.</w:t>
      </w:r>
    </w:p>
    <w:p w:rsidR="00000000" w:rsidDel="00000000" w:rsidP="00000000" w:rsidRDefault="00000000" w:rsidRPr="00000000" w14:paraId="000000FD">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Taxation Theory:</w:t>
      </w:r>
      <w:r w:rsidDel="00000000" w:rsidR="00000000" w:rsidRPr="00000000">
        <w:rPr>
          <w:rFonts w:ascii="Google Sans Text" w:cs="Google Sans Text" w:eastAsia="Google Sans Text" w:hAnsi="Google Sans Text"/>
          <w:color w:val="1f1f1f"/>
          <w:rtl w:val="0"/>
        </w:rPr>
        <w:t xml:space="preserve"> Explain the concept of deadweight loss (the Harberger triangle). Using the logic of the Ramsey Rule, justify why a government seeking to maximize pure economic efficiency should apply higher tax rates to commodities that exhibit highly inelastic demand.</w:t>
      </w:r>
    </w:p>
    <w:p w:rsidR="00000000" w:rsidDel="00000000" w:rsidP="00000000" w:rsidRDefault="00000000" w:rsidRPr="00000000" w14:paraId="000000FE">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Fiscal Federalism:</w:t>
      </w:r>
      <w:r w:rsidDel="00000000" w:rsidR="00000000" w:rsidRPr="00000000">
        <w:rPr>
          <w:rFonts w:ascii="Google Sans Text" w:cs="Google Sans Text" w:eastAsia="Google Sans Text" w:hAnsi="Google Sans Text"/>
          <w:color w:val="1f1f1f"/>
          <w:rtl w:val="0"/>
        </w:rPr>
        <w:t xml:space="preserve"> Analyze the structural shift in the horizontal devolution formula between the 15th and 16th Finance Commissions. Specifically, why was the new "Contribution to GDP" metric introduced, and how does it counterbalance the traditional "Income Distance" criterion?</w:t>
      </w:r>
    </w:p>
    <w:p w:rsidR="00000000" w:rsidDel="00000000" w:rsidP="00000000" w:rsidRDefault="00000000" w:rsidRPr="00000000" w14:paraId="000000FF">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Macroeconomic Indicators 2025:</w:t>
      </w:r>
      <w:r w:rsidDel="00000000" w:rsidR="00000000" w:rsidRPr="00000000">
        <w:rPr>
          <w:rFonts w:ascii="Google Sans Text" w:cs="Google Sans Text" w:eastAsia="Google Sans Text" w:hAnsi="Google Sans Text"/>
          <w:color w:val="1f1f1f"/>
          <w:rtl w:val="0"/>
        </w:rPr>
        <w:t xml:space="preserve"> Based on the data presented in the Economic Survey 2025-26, what are the primary domestic demand drivers responsible for India's projected 7.4% GDP growth in FY26, and how has the inflation profile evolved to support this consumption?</w:t>
      </w:r>
    </w:p>
    <w:p w:rsidR="00000000" w:rsidDel="00000000" w:rsidP="00000000" w:rsidRDefault="00000000" w:rsidRPr="00000000" w14:paraId="00000100">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Classical Trade Theory:</w:t>
      </w:r>
      <w:r w:rsidDel="00000000" w:rsidR="00000000" w:rsidRPr="00000000">
        <w:rPr>
          <w:rFonts w:ascii="Google Sans Text" w:cs="Google Sans Text" w:eastAsia="Google Sans Text" w:hAnsi="Google Sans Text"/>
          <w:color w:val="1f1f1f"/>
          <w:rtl w:val="0"/>
        </w:rPr>
        <w:t xml:space="preserve"> Differentiate between Adam Smith's Theory of Absolute Advantage and David Ricardo's Theory of Comparative Advantage. Why is opportunity cost the critical metric in Ricardo's model?</w:t>
      </w:r>
    </w:p>
    <w:p w:rsidR="00000000" w:rsidDel="00000000" w:rsidP="00000000" w:rsidRDefault="00000000" w:rsidRPr="00000000" w14:paraId="00000101">
      <w:pPr>
        <w:numPr>
          <w:ilvl w:val="0"/>
          <w:numId w:val="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Modern Trade Dynamics:</w:t>
      </w:r>
      <w:r w:rsidDel="00000000" w:rsidR="00000000" w:rsidRPr="00000000">
        <w:rPr>
          <w:rFonts w:ascii="Google Sans Text" w:cs="Google Sans Text" w:eastAsia="Google Sans Text" w:hAnsi="Google Sans Text"/>
          <w:color w:val="1f1f1f"/>
          <w:rtl w:val="0"/>
        </w:rPr>
        <w:t xml:space="preserve"> How does Paul Krugman's New Trade Theory (NTT) explain the high volume of intra-industry trade between nations that possess nearly identical factor endowments? What role do increasing returns to scale play in this model?</w:t>
      </w:r>
    </w:p>
    <w:p w:rsidR="00000000" w:rsidDel="00000000" w:rsidP="00000000" w:rsidRDefault="00000000" w:rsidRPr="00000000" w14:paraId="00000102">
      <w:pPr>
        <w:pStyle w:val="Heading4"/>
        <w:pBdr>
          <w:top w:space="0" w:sz="0" w:val="nil"/>
          <w:left w:space="0" w:sz="0" w:val="nil"/>
          <w:bottom w:space="0" w:sz="0" w:val="nil"/>
          <w:right w:space="0" w:sz="0" w:val="nil"/>
          <w:between w:space="0" w:sz="0" w:val="nil"/>
        </w:pBdr>
        <w:shd w:fill="auto" w:val="clear"/>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10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 History of India: 1857-1947 - Pazhassiraja College Pulpally, accessed February 17, 2026, </w:t>
      </w:r>
      <w:hyperlink r:id="rId6">
        <w:r w:rsidDel="00000000" w:rsidR="00000000" w:rsidRPr="00000000">
          <w:rPr>
            <w:rFonts w:ascii="Google Sans" w:cs="Google Sans" w:eastAsia="Google Sans" w:hAnsi="Google Sans"/>
            <w:color w:val="0000ee"/>
            <w:sz w:val="24"/>
            <w:szCs w:val="24"/>
            <w:u w:val="single"/>
            <w:rtl w:val="0"/>
          </w:rPr>
          <w:t xml:space="preserve">https://prc.ac.in/crm/public/uploads/ssr_documents/Anil-Kumar-Economic-History-of-India-302.pdf</w:t>
        </w:r>
      </w:hyperlink>
      <w:r w:rsidDel="00000000" w:rsidR="00000000" w:rsidRPr="00000000">
        <w:rPr>
          <w:rtl w:val="0"/>
        </w:rPr>
      </w:r>
    </w:p>
    <w:p w:rsidR="00000000" w:rsidDel="00000000" w:rsidP="00000000" w:rsidRDefault="00000000" w:rsidRPr="00000000" w14:paraId="00000104">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Economy of India - Wikipedia, accessed February 17, 2026, </w:t>
      </w:r>
      <w:hyperlink r:id="rId7">
        <w:r w:rsidDel="00000000" w:rsidR="00000000" w:rsidRPr="00000000">
          <w:rPr>
            <w:rFonts w:ascii="Google Sans" w:cs="Google Sans" w:eastAsia="Google Sans" w:hAnsi="Google Sans"/>
            <w:color w:val="0000ee"/>
            <w:sz w:val="24"/>
            <w:szCs w:val="24"/>
            <w:u w:val="single"/>
            <w:rtl w:val="0"/>
          </w:rPr>
          <w:t xml:space="preserve">https://en.wikipedia.org/wiki/Economy_of_India</w:t>
        </w:r>
      </w:hyperlink>
      <w:r w:rsidDel="00000000" w:rsidR="00000000" w:rsidRPr="00000000">
        <w:rPr>
          <w:rtl w:val="0"/>
        </w:rPr>
      </w:r>
    </w:p>
    <w:p w:rsidR="00000000" w:rsidDel="00000000" w:rsidP="00000000" w:rsidRDefault="00000000" w:rsidRPr="00000000" w14:paraId="00000105">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Income Estimates in India - Your Article Library, accessed February 17, 2026, </w:t>
      </w:r>
      <w:hyperlink r:id="rId8">
        <w:r w:rsidDel="00000000" w:rsidR="00000000" w:rsidRPr="00000000">
          <w:rPr>
            <w:rFonts w:ascii="Google Sans" w:cs="Google Sans" w:eastAsia="Google Sans" w:hAnsi="Google Sans"/>
            <w:color w:val="0000ee"/>
            <w:sz w:val="24"/>
            <w:szCs w:val="24"/>
            <w:u w:val="single"/>
            <w:rtl w:val="0"/>
          </w:rPr>
          <w:t xml:space="preserve">https://www.yourarticlelibrary.com/economics/national-income/national-income-estimates-in-india/62829</w:t>
        </w:r>
      </w:hyperlink>
      <w:r w:rsidDel="00000000" w:rsidR="00000000" w:rsidRPr="00000000">
        <w:rPr>
          <w:rtl w:val="0"/>
        </w:rPr>
      </w:r>
    </w:p>
    <w:p w:rsidR="00000000" w:rsidDel="00000000" w:rsidP="00000000" w:rsidRDefault="00000000" w:rsidRPr="00000000" w14:paraId="00000106">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evolution of labour markets in india - Documents &amp; Reports, accessed February 17, 2026, </w:t>
      </w:r>
      <w:hyperlink r:id="rId9">
        <w:r w:rsidDel="00000000" w:rsidR="00000000" w:rsidRPr="00000000">
          <w:rPr>
            <w:rFonts w:ascii="Google Sans" w:cs="Google Sans" w:eastAsia="Google Sans" w:hAnsi="Google Sans"/>
            <w:color w:val="0000ee"/>
            <w:sz w:val="24"/>
            <w:szCs w:val="24"/>
            <w:u w:val="single"/>
            <w:rtl w:val="0"/>
          </w:rPr>
          <w:t xml:space="preserve">https://documents1.worldbank.org/curated/en/482781468268489222/pdf/Theevolution-of-labour-markets-in-India-1857-1947.pdf</w:t>
        </w:r>
      </w:hyperlink>
      <w:r w:rsidDel="00000000" w:rsidR="00000000" w:rsidRPr="00000000">
        <w:rPr>
          <w:rtl w:val="0"/>
        </w:rPr>
      </w:r>
    </w:p>
    <w:p w:rsidR="00000000" w:rsidDel="00000000" w:rsidP="00000000" w:rsidRDefault="00000000" w:rsidRPr="00000000" w14:paraId="0000010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Occupational Structure in Colonial India - BYJU'S, accessed February 17, 2026, </w:t>
      </w:r>
      <w:hyperlink r:id="rId10">
        <w:r w:rsidDel="00000000" w:rsidR="00000000" w:rsidRPr="00000000">
          <w:rPr>
            <w:rFonts w:ascii="Google Sans" w:cs="Google Sans" w:eastAsia="Google Sans" w:hAnsi="Google Sans"/>
            <w:color w:val="0000ee"/>
            <w:sz w:val="24"/>
            <w:szCs w:val="24"/>
            <w:u w:val="single"/>
            <w:rtl w:val="0"/>
          </w:rPr>
          <w:t xml:space="preserve">https://byjus.com/commerce/occupational-structure/</w:t>
        </w:r>
      </w:hyperlink>
      <w:r w:rsidDel="00000000" w:rsidR="00000000" w:rsidRPr="00000000">
        <w:rPr>
          <w:rtl w:val="0"/>
        </w:rPr>
      </w:r>
    </w:p>
    <w:p w:rsidR="00000000" w:rsidDel="00000000" w:rsidP="00000000" w:rsidRDefault="00000000" w:rsidRPr="00000000" w14:paraId="00000108">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History of India | Gaurav Poddar, accessed February 17, 2026, </w:t>
      </w:r>
      <w:hyperlink r:id="rId11">
        <w:r w:rsidDel="00000000" w:rsidR="00000000" w:rsidRPr="00000000">
          <w:rPr>
            <w:rFonts w:ascii="Google Sans" w:cs="Google Sans" w:eastAsia="Google Sans" w:hAnsi="Google Sans"/>
            <w:color w:val="0000ee"/>
            <w:sz w:val="24"/>
            <w:szCs w:val="24"/>
            <w:u w:val="single"/>
            <w:rtl w:val="0"/>
          </w:rPr>
          <w:t xml:space="preserve">https://poddargaurav.wordpress.com/wp-content/uploads/2019/11/economic-history-of-india.pdf</w:t>
        </w:r>
      </w:hyperlink>
      <w:r w:rsidDel="00000000" w:rsidR="00000000" w:rsidRPr="00000000">
        <w:rPr>
          <w:rtl w:val="0"/>
        </w:rPr>
      </w:r>
    </w:p>
    <w:p w:rsidR="00000000" w:rsidDel="00000000" w:rsidP="00000000" w:rsidRDefault="00000000" w:rsidRPr="00000000" w14:paraId="0000010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Who estimated the National Income for the first time in India? - Testbook, accessed February 17, 2026, </w:t>
      </w:r>
      <w:hyperlink r:id="rId12">
        <w:r w:rsidDel="00000000" w:rsidR="00000000" w:rsidRPr="00000000">
          <w:rPr>
            <w:rFonts w:ascii="Google Sans" w:cs="Google Sans" w:eastAsia="Google Sans" w:hAnsi="Google Sans"/>
            <w:color w:val="0000ee"/>
            <w:sz w:val="24"/>
            <w:szCs w:val="24"/>
            <w:u w:val="single"/>
            <w:rtl w:val="0"/>
          </w:rPr>
          <w:t xml:space="preserve">https://testbook.com/question-answer/who-estimated-the-national-income-for-the-first-ti--5b263fd249d92b0c35c5fbce</w:t>
        </w:r>
      </w:hyperlink>
      <w:r w:rsidDel="00000000" w:rsidR="00000000" w:rsidRPr="00000000">
        <w:rPr>
          <w:rtl w:val="0"/>
        </w:rPr>
      </w:r>
    </w:p>
    <w:p w:rsidR="00000000" w:rsidDel="00000000" w:rsidP="00000000" w:rsidRDefault="00000000" w:rsidRPr="00000000" w14:paraId="0000010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 self study history, accessed February 17, 2026, </w:t>
      </w:r>
      <w:hyperlink r:id="rId13">
        <w:r w:rsidDel="00000000" w:rsidR="00000000" w:rsidRPr="00000000">
          <w:rPr>
            <w:rFonts w:ascii="Google Sans" w:cs="Google Sans" w:eastAsia="Google Sans" w:hAnsi="Google Sans"/>
            <w:color w:val="0000ee"/>
            <w:sz w:val="24"/>
            <w:szCs w:val="24"/>
            <w:u w:val="single"/>
            <w:rtl w:val="0"/>
          </w:rPr>
          <w:t xml:space="preserve">https://selfstudyhistory.com/2015/10/15/drain-of-wealth/</w:t>
        </w:r>
      </w:hyperlink>
      <w:r w:rsidDel="00000000" w:rsidR="00000000" w:rsidRPr="00000000">
        <w:rPr>
          <w:rtl w:val="0"/>
        </w:rPr>
      </w:r>
    </w:p>
    <w:p w:rsidR="00000000" w:rsidDel="00000000" w:rsidP="00000000" w:rsidRDefault="00000000" w:rsidRPr="00000000" w14:paraId="0000010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Name some notable economists who estimated India's per capita income during the colonial period. - UrbanPro, accessed February 17, 2026, </w:t>
      </w:r>
      <w:hyperlink r:id="rId14">
        <w:r w:rsidDel="00000000" w:rsidR="00000000" w:rsidRPr="00000000">
          <w:rPr>
            <w:rFonts w:ascii="Google Sans" w:cs="Google Sans" w:eastAsia="Google Sans" w:hAnsi="Google Sans"/>
            <w:color w:val="0000ee"/>
            <w:sz w:val="24"/>
            <w:szCs w:val="24"/>
            <w:u w:val="single"/>
            <w:rtl w:val="0"/>
          </w:rPr>
          <w:t xml:space="preserve">https://www.urbanpro.com/class-12-tuition/name-some-notable-economists-who-estimated</w:t>
        </w:r>
      </w:hyperlink>
      <w:r w:rsidDel="00000000" w:rsidR="00000000" w:rsidRPr="00000000">
        <w:rPr>
          <w:rtl w:val="0"/>
        </w:rPr>
      </w:r>
    </w:p>
    <w:p w:rsidR="00000000" w:rsidDel="00000000" w:rsidP="00000000" w:rsidRDefault="00000000" w:rsidRPr="00000000" w14:paraId="0000010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Who estimated the national income for the first time in India? - Quora, accessed February 17, 2026, </w:t>
      </w:r>
      <w:hyperlink r:id="rId15">
        <w:r w:rsidDel="00000000" w:rsidR="00000000" w:rsidRPr="00000000">
          <w:rPr>
            <w:rFonts w:ascii="Google Sans" w:cs="Google Sans" w:eastAsia="Google Sans" w:hAnsi="Google Sans"/>
            <w:color w:val="0000ee"/>
            <w:sz w:val="24"/>
            <w:szCs w:val="24"/>
            <w:u w:val="single"/>
            <w:rtl w:val="0"/>
          </w:rPr>
          <w:t xml:space="preserve">https://www.quora.com/Who-estimated-the-national-income-for-the-first-time-in-India</w:t>
        </w:r>
      </w:hyperlink>
      <w:r w:rsidDel="00000000" w:rsidR="00000000" w:rsidRPr="00000000">
        <w:rPr>
          <w:rtl w:val="0"/>
        </w:rPr>
      </w:r>
    </w:p>
    <w:p w:rsidR="00000000" w:rsidDel="00000000" w:rsidP="00000000" w:rsidRDefault="00000000" w:rsidRPr="00000000" w14:paraId="0000010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Status of Indian Economy before and During British Rule - Class 12 - Teachoo, accessed February 17, 2026, </w:t>
      </w:r>
      <w:hyperlink r:id="rId16">
        <w:r w:rsidDel="00000000" w:rsidR="00000000" w:rsidRPr="00000000">
          <w:rPr>
            <w:rFonts w:ascii="Google Sans" w:cs="Google Sans" w:eastAsia="Google Sans" w:hAnsi="Google Sans"/>
            <w:color w:val="0000ee"/>
            <w:sz w:val="24"/>
            <w:szCs w:val="24"/>
            <w:u w:val="single"/>
            <w:rtl w:val="0"/>
          </w:rPr>
          <w:t xml:space="preserve">https://www.teachoo.com/16009/3649/Status-of-Indian-Economy-before-and-During-British-Rule/category/Chapter-1-IED-Indian-Economy-On-The-Eve-Of-Independence-Term-1/</w:t>
        </w:r>
      </w:hyperlink>
      <w:r w:rsidDel="00000000" w:rsidR="00000000" w:rsidRPr="00000000">
        <w:rPr>
          <w:rtl w:val="0"/>
        </w:rPr>
      </w:r>
    </w:p>
    <w:p w:rsidR="00000000" w:rsidDel="00000000" w:rsidP="00000000" w:rsidRDefault="00000000" w:rsidRPr="00000000" w14:paraId="0000010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Some Indian economists attempted to measure India's na - Testbook, accessed February 17, 2026, </w:t>
      </w:r>
      <w:hyperlink r:id="rId17">
        <w:r w:rsidDel="00000000" w:rsidR="00000000" w:rsidRPr="00000000">
          <w:rPr>
            <w:rFonts w:ascii="Google Sans" w:cs="Google Sans" w:eastAsia="Google Sans" w:hAnsi="Google Sans"/>
            <w:color w:val="0000ee"/>
            <w:sz w:val="24"/>
            <w:szCs w:val="24"/>
            <w:u w:val="single"/>
            <w:rtl w:val="0"/>
          </w:rPr>
          <w:t xml:space="preserve">https://testbook.com/question-answer/some-indian-economists-attempted-to-measure-india--5ed79d7ff60d5d15fec80a4a</w:t>
        </w:r>
      </w:hyperlink>
      <w:r w:rsidDel="00000000" w:rsidR="00000000" w:rsidRPr="00000000">
        <w:rPr>
          <w:rtl w:val="0"/>
        </w:rPr>
      </w:r>
    </w:p>
    <w:p w:rsidR="00000000" w:rsidDel="00000000" w:rsidP="00000000" w:rsidRDefault="00000000" w:rsidRPr="00000000" w14:paraId="0000010F">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De-Industrialization: The Curse of Colonial Rule - Research Journal of Humanities and Social Sciences, accessed February 17, 2026, </w:t>
      </w:r>
      <w:hyperlink r:id="rId18">
        <w:r w:rsidDel="00000000" w:rsidR="00000000" w:rsidRPr="00000000">
          <w:rPr>
            <w:rFonts w:ascii="Google Sans" w:cs="Google Sans" w:eastAsia="Google Sans" w:hAnsi="Google Sans"/>
            <w:color w:val="0000ee"/>
            <w:sz w:val="24"/>
            <w:szCs w:val="24"/>
            <w:u w:val="single"/>
            <w:rtl w:val="0"/>
          </w:rPr>
          <w:t xml:space="preserve">https://rjhssonline.com/HTMLPaper.aspx?Journal=Research%20Journal%20of%20Humanities%20and%20Social%20Sciences;PID=2010-1-2-3</w:t>
        </w:r>
      </w:hyperlink>
      <w:r w:rsidDel="00000000" w:rsidR="00000000" w:rsidRPr="00000000">
        <w:rPr>
          <w:rtl w:val="0"/>
        </w:rPr>
      </w:r>
    </w:p>
    <w:p w:rsidR="00000000" w:rsidDel="00000000" w:rsidP="00000000" w:rsidRDefault="00000000" w:rsidRPr="00000000" w14:paraId="00000110">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Trade and Industry: Deindustrialization Lesson Developer : Dr. - Deshbandhu College, accessed February 17, 2026, </w:t>
      </w:r>
      <w:hyperlink r:id="rId19">
        <w:r w:rsidDel="00000000" w:rsidR="00000000" w:rsidRPr="00000000">
          <w:rPr>
            <w:rFonts w:ascii="Google Sans" w:cs="Google Sans" w:eastAsia="Google Sans" w:hAnsi="Google Sans"/>
            <w:color w:val="0000ee"/>
            <w:sz w:val="24"/>
            <w:szCs w:val="24"/>
            <w:u w:val="single"/>
            <w:rtl w:val="0"/>
          </w:rPr>
          <w:t xml:space="preserve">https://www.deshbandhucollege.ac.in/pdf/resources/1585676262_HS(H)-VI-lec7.pdf</w:t>
        </w:r>
      </w:hyperlink>
      <w:r w:rsidDel="00000000" w:rsidR="00000000" w:rsidRPr="00000000">
        <w:rPr>
          <w:rtl w:val="0"/>
        </w:rPr>
      </w:r>
    </w:p>
    <w:p w:rsidR="00000000" w:rsidDel="00000000" w:rsidP="00000000" w:rsidRDefault="00000000" w:rsidRPr="00000000" w14:paraId="00000111">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De-Industrialization Under British Rule: New Ideas, New Evidence - NBER, accessed February 17, 2026, </w:t>
      </w:r>
      <w:hyperlink r:id="rId20">
        <w:r w:rsidDel="00000000" w:rsidR="00000000" w:rsidRPr="00000000">
          <w:rPr>
            <w:rFonts w:ascii="Google Sans" w:cs="Google Sans" w:eastAsia="Google Sans" w:hAnsi="Google Sans"/>
            <w:color w:val="0000ee"/>
            <w:sz w:val="24"/>
            <w:szCs w:val="24"/>
            <w:u w:val="single"/>
            <w:rtl w:val="0"/>
          </w:rPr>
          <w:t xml:space="preserve">https://www.nber.org/system/files/working_papers/w10586/w10586.pdf</w:t>
        </w:r>
      </w:hyperlink>
      <w:r w:rsidDel="00000000" w:rsidR="00000000" w:rsidRPr="00000000">
        <w:rPr>
          <w:rtl w:val="0"/>
        </w:rPr>
      </w:r>
    </w:p>
    <w:p w:rsidR="00000000" w:rsidDel="00000000" w:rsidP="00000000" w:rsidRDefault="00000000" w:rsidRPr="00000000" w14:paraId="00000112">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Theory in Indian Economy - Plutus IAS, accessed February 17, 2026, </w:t>
      </w:r>
      <w:hyperlink r:id="rId21">
        <w:r w:rsidDel="00000000" w:rsidR="00000000" w:rsidRPr="00000000">
          <w:rPr>
            <w:rFonts w:ascii="Google Sans" w:cs="Google Sans" w:eastAsia="Google Sans" w:hAnsi="Google Sans"/>
            <w:color w:val="0000ee"/>
            <w:sz w:val="24"/>
            <w:szCs w:val="24"/>
            <w:u w:val="single"/>
            <w:rtl w:val="0"/>
          </w:rPr>
          <w:t xml:space="preserve">https://plutusias.com/drain-theory-in-indian-economy/</w:t>
        </w:r>
      </w:hyperlink>
      <w:r w:rsidDel="00000000" w:rsidR="00000000" w:rsidRPr="00000000">
        <w:rPr>
          <w:rtl w:val="0"/>
        </w:rPr>
      </w:r>
    </w:p>
    <w:p w:rsidR="00000000" w:rsidDel="00000000" w:rsidP="00000000" w:rsidRDefault="00000000" w:rsidRPr="00000000" w14:paraId="0000011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Theory: Meaning, Background, Features &amp; More| UPSC Notes - Testbook, accessed February 17, 2026, </w:t>
      </w:r>
      <w:hyperlink r:id="rId22">
        <w:r w:rsidDel="00000000" w:rsidR="00000000" w:rsidRPr="00000000">
          <w:rPr>
            <w:rFonts w:ascii="Google Sans" w:cs="Google Sans" w:eastAsia="Google Sans" w:hAnsi="Google Sans"/>
            <w:color w:val="0000ee"/>
            <w:sz w:val="24"/>
            <w:szCs w:val="24"/>
            <w:u w:val="single"/>
            <w:rtl w:val="0"/>
          </w:rPr>
          <w:t xml:space="preserve">https://testbook.com/ias-preparation/drain-of-wealth-theory-upsc</w:t>
        </w:r>
      </w:hyperlink>
      <w:r w:rsidDel="00000000" w:rsidR="00000000" w:rsidRPr="00000000">
        <w:rPr>
          <w:rtl w:val="0"/>
        </w:rPr>
      </w:r>
    </w:p>
    <w:p w:rsidR="00000000" w:rsidDel="00000000" w:rsidP="00000000" w:rsidRDefault="00000000" w:rsidRPr="00000000" w14:paraId="00000114">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Drain of Wealth: Colonialism before the First World War - Monthly Review, accessed February 17, 2026, </w:t>
      </w:r>
      <w:hyperlink r:id="rId23">
        <w:r w:rsidDel="00000000" w:rsidR="00000000" w:rsidRPr="00000000">
          <w:rPr>
            <w:rFonts w:ascii="Google Sans" w:cs="Google Sans" w:eastAsia="Google Sans" w:hAnsi="Google Sans"/>
            <w:color w:val="0000ee"/>
            <w:sz w:val="24"/>
            <w:szCs w:val="24"/>
            <w:u w:val="single"/>
            <w:rtl w:val="0"/>
          </w:rPr>
          <w:t xml:space="preserve">https://monthlyreview.org/articles/the-drain-of-wealth/</w:t>
        </w:r>
      </w:hyperlink>
      <w:r w:rsidDel="00000000" w:rsidR="00000000" w:rsidRPr="00000000">
        <w:rPr>
          <w:rtl w:val="0"/>
        </w:rPr>
      </w:r>
    </w:p>
    <w:p w:rsidR="00000000" w:rsidDel="00000000" w:rsidP="00000000" w:rsidRDefault="00000000" w:rsidRPr="00000000" w14:paraId="00000115">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Economy in British Raj: The Systematic Drain of Indian Wealth - Genuine Hindu Info Source, accessed February 17, 2026, </w:t>
      </w:r>
      <w:hyperlink r:id="rId24">
        <w:r w:rsidDel="00000000" w:rsidR="00000000" w:rsidRPr="00000000">
          <w:rPr>
            <w:rFonts w:ascii="Google Sans" w:cs="Google Sans" w:eastAsia="Google Sans" w:hAnsi="Google Sans"/>
            <w:color w:val="0000ee"/>
            <w:sz w:val="24"/>
            <w:szCs w:val="24"/>
            <w:u w:val="single"/>
            <w:rtl w:val="0"/>
          </w:rPr>
          <w:t xml:space="preserve">https://hinduinfopedia.org/economy-in-british-raj-the-systematic-drain-of-indian-wealth/</w:t>
        </w:r>
      </w:hyperlink>
      <w:r w:rsidDel="00000000" w:rsidR="00000000" w:rsidRPr="00000000">
        <w:rPr>
          <w:rtl w:val="0"/>
        </w:rPr>
      </w:r>
    </w:p>
    <w:p w:rsidR="00000000" w:rsidDel="00000000" w:rsidP="00000000" w:rsidRDefault="00000000" w:rsidRPr="00000000" w14:paraId="00000116">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Drain Gain: An investigation into how colonial drain helped keep British economy buoyant - Economics, accessed February 17, 2026, </w:t>
      </w:r>
      <w:hyperlink r:id="rId25">
        <w:r w:rsidDel="00000000" w:rsidR="00000000" w:rsidRPr="00000000">
          <w:rPr>
            <w:rFonts w:ascii="Google Sans" w:cs="Google Sans" w:eastAsia="Google Sans" w:hAnsi="Google Sans"/>
            <w:color w:val="0000ee"/>
            <w:sz w:val="24"/>
            <w:szCs w:val="24"/>
            <w:u w:val="single"/>
            <w:rtl w:val="0"/>
          </w:rPr>
          <w:t xml:space="preserve">https://www.econ.utah.edu/research/publications/2023-01.pdf</w:t>
        </w:r>
      </w:hyperlink>
      <w:r w:rsidDel="00000000" w:rsidR="00000000" w:rsidRPr="00000000">
        <w:rPr>
          <w:rtl w:val="0"/>
        </w:rPr>
      </w:r>
    </w:p>
    <w:p w:rsidR="00000000" w:rsidDel="00000000" w:rsidP="00000000" w:rsidRDefault="00000000" w:rsidRPr="00000000" w14:paraId="0000011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State and Industrialisation: 1930–1950 (Chapter 6) - A Business History of India, accessed February 17, 2026, </w:t>
      </w:r>
      <w:hyperlink r:id="rId26">
        <w:r w:rsidDel="00000000" w:rsidR="00000000" w:rsidRPr="00000000">
          <w:rPr>
            <w:rFonts w:ascii="Google Sans" w:cs="Google Sans" w:eastAsia="Google Sans" w:hAnsi="Google Sans"/>
            <w:color w:val="0000ee"/>
            <w:sz w:val="24"/>
            <w:szCs w:val="24"/>
            <w:u w:val="single"/>
            <w:rtl w:val="0"/>
          </w:rPr>
          <w:t xml:space="preserve">https://www.cambridge.org/core/books/business-history-of-india/state-and-industrialisation-19301950/AAB7930436FC5F738C62FDD5D988ECA3</w:t>
        </w:r>
      </w:hyperlink>
      <w:r w:rsidDel="00000000" w:rsidR="00000000" w:rsidRPr="00000000">
        <w:rPr>
          <w:rtl w:val="0"/>
        </w:rPr>
      </w:r>
    </w:p>
    <w:p w:rsidR="00000000" w:rsidDel="00000000" w:rsidP="00000000" w:rsidRDefault="00000000" w:rsidRPr="00000000" w14:paraId="00000118">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Big Industry Before Independence: - CCS, accessed February 17, 2026, </w:t>
      </w:r>
      <w:hyperlink r:id="rId27">
        <w:r w:rsidDel="00000000" w:rsidR="00000000" w:rsidRPr="00000000">
          <w:rPr>
            <w:rFonts w:ascii="Google Sans" w:cs="Google Sans" w:eastAsia="Google Sans" w:hAnsi="Google Sans"/>
            <w:color w:val="0000ee"/>
            <w:sz w:val="24"/>
            <w:szCs w:val="24"/>
            <w:u w:val="single"/>
            <w:rtl w:val="0"/>
          </w:rPr>
          <w:t xml:space="preserve">https://ccs.in/sites/default/files/2022-10/Big%20Industries%20After%20Independence%201860-1950.pdf</w:t>
        </w:r>
      </w:hyperlink>
      <w:r w:rsidDel="00000000" w:rsidR="00000000" w:rsidRPr="00000000">
        <w:rPr>
          <w:rtl w:val="0"/>
        </w:rPr>
      </w:r>
    </w:p>
    <w:p w:rsidR="00000000" w:rsidDel="00000000" w:rsidP="00000000" w:rsidRDefault="00000000" w:rsidRPr="00000000" w14:paraId="0000011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Corporate Law in Colonial India: Rise and Demise of the Managing Agency System, accessed February 17, 2026, </w:t>
      </w:r>
      <w:hyperlink r:id="rId28">
        <w:r w:rsidDel="00000000" w:rsidR="00000000" w:rsidRPr="00000000">
          <w:rPr>
            <w:rFonts w:ascii="Google Sans" w:cs="Google Sans" w:eastAsia="Google Sans" w:hAnsi="Google Sans"/>
            <w:color w:val="0000ee"/>
            <w:sz w:val="24"/>
            <w:szCs w:val="24"/>
            <w:u w:val="single"/>
            <w:rtl w:val="0"/>
          </w:rPr>
          <w:t xml:space="preserve">https://law.nus.edu.sg/wp-content/uploads/2020/04/016_2015_Umakanth-Varottil.pdf</w:t>
        </w:r>
      </w:hyperlink>
      <w:r w:rsidDel="00000000" w:rsidR="00000000" w:rsidRPr="00000000">
        <w:rPr>
          <w:rtl w:val="0"/>
        </w:rPr>
      </w:r>
    </w:p>
    <w:p w:rsidR="00000000" w:rsidDel="00000000" w:rsidP="00000000" w:rsidRDefault="00000000" w:rsidRPr="00000000" w14:paraId="0000011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2015.113006.The-Managing-Agency-System-In-Prospect-And-Retrospect.pdf, accessed February 17, 2026, </w:t>
      </w:r>
      <w:hyperlink r:id="rId29">
        <w:r w:rsidDel="00000000" w:rsidR="00000000" w:rsidRPr="00000000">
          <w:rPr>
            <w:rFonts w:ascii="Google Sans" w:cs="Google Sans" w:eastAsia="Google Sans" w:hAnsi="Google Sans"/>
            <w:color w:val="0000ee"/>
            <w:sz w:val="24"/>
            <w:szCs w:val="24"/>
            <w:u w:val="single"/>
            <w:rtl w:val="0"/>
          </w:rPr>
          <w:t xml:space="preserve">https://ia800805.us.archive.org/19/items/in.ernet.dli.2015.113006/2015.113006.The-Managing-Agency-System-In-Prospect-And-Retrospect.pdf</w:t>
        </w:r>
      </w:hyperlink>
      <w:r w:rsidDel="00000000" w:rsidR="00000000" w:rsidRPr="00000000">
        <w:rPr>
          <w:rtl w:val="0"/>
        </w:rPr>
      </w:r>
    </w:p>
    <w:p w:rsidR="00000000" w:rsidDel="00000000" w:rsidP="00000000" w:rsidRDefault="00000000" w:rsidRPr="00000000" w14:paraId="0000011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forgotten managing agency system: a nineteenth century model of Indian corporate governance - IDEAS/RePEc, accessed February 17, 2026, </w:t>
      </w:r>
      <w:hyperlink r:id="rId30">
        <w:r w:rsidDel="00000000" w:rsidR="00000000" w:rsidRPr="00000000">
          <w:rPr>
            <w:rFonts w:ascii="Google Sans" w:cs="Google Sans" w:eastAsia="Google Sans" w:hAnsi="Google Sans"/>
            <w:color w:val="0000ee"/>
            <w:sz w:val="24"/>
            <w:szCs w:val="24"/>
            <w:u w:val="single"/>
            <w:rtl w:val="0"/>
          </w:rPr>
          <w:t xml:space="preserve">https://ideas.repec.org/a/eme/srjpps/v5y2009i1p112-122.html</w:t>
        </w:r>
      </w:hyperlink>
      <w:r w:rsidDel="00000000" w:rsidR="00000000" w:rsidRPr="00000000">
        <w:rPr>
          <w:rtl w:val="0"/>
        </w:rPr>
      </w:r>
    </w:p>
    <w:p w:rsidR="00000000" w:rsidDel="00000000" w:rsidP="00000000" w:rsidRDefault="00000000" w:rsidRPr="00000000" w14:paraId="0000011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Politics of Industry in Nehru's India - Tyabji, Nasir - Munich Personal RePEc Archive, accessed February 17, 2026, </w:t>
      </w:r>
      <w:hyperlink r:id="rId31">
        <w:r w:rsidDel="00000000" w:rsidR="00000000" w:rsidRPr="00000000">
          <w:rPr>
            <w:rFonts w:ascii="Google Sans" w:cs="Google Sans" w:eastAsia="Google Sans" w:hAnsi="Google Sans"/>
            <w:color w:val="0000ee"/>
            <w:sz w:val="24"/>
            <w:szCs w:val="24"/>
            <w:u w:val="single"/>
            <w:rtl w:val="0"/>
          </w:rPr>
          <w:t xml:space="preserve">https://mpra.ub.uni-muenchen.de/62260/1/MPRA_paper_62260.pdf</w:t>
        </w:r>
      </w:hyperlink>
      <w:r w:rsidDel="00000000" w:rsidR="00000000" w:rsidRPr="00000000">
        <w:rPr>
          <w:rtl w:val="0"/>
        </w:rPr>
      </w:r>
    </w:p>
    <w:p w:rsidR="00000000" w:rsidDel="00000000" w:rsidP="00000000" w:rsidRDefault="00000000" w:rsidRPr="00000000" w14:paraId="0000011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Incorporation of India: The Tata Business Firm Between Empire and Nation, ca. 1860-1970 - Harvard DASH, accessed February 17, 2026, </w:t>
      </w:r>
      <w:hyperlink r:id="rId32">
        <w:r w:rsidDel="00000000" w:rsidR="00000000" w:rsidRPr="00000000">
          <w:rPr>
            <w:rFonts w:ascii="Google Sans" w:cs="Google Sans" w:eastAsia="Google Sans" w:hAnsi="Google Sans"/>
            <w:color w:val="0000ee"/>
            <w:sz w:val="24"/>
            <w:szCs w:val="24"/>
            <w:u w:val="single"/>
            <w:rtl w:val="0"/>
          </w:rPr>
          <w:t xml:space="preserve">https://dash.harvard.edu/bitstreams/810ff41f-1459-43e1-baa6-e2c0cfe3e1e8/download</w:t>
        </w:r>
      </w:hyperlink>
      <w:r w:rsidDel="00000000" w:rsidR="00000000" w:rsidRPr="00000000">
        <w:rPr>
          <w:rtl w:val="0"/>
        </w:rPr>
      </w:r>
    </w:p>
    <w:p w:rsidR="00000000" w:rsidDel="00000000" w:rsidP="00000000" w:rsidRDefault="00000000" w:rsidRPr="00000000" w14:paraId="0000011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Achievements After 79 Years of Independence: A Journey of Transformation, accessed February 17, 2026, </w:t>
      </w:r>
      <w:hyperlink r:id="rId33">
        <w:r w:rsidDel="00000000" w:rsidR="00000000" w:rsidRPr="00000000">
          <w:rPr>
            <w:rFonts w:ascii="Google Sans" w:cs="Google Sans" w:eastAsia="Google Sans" w:hAnsi="Google Sans"/>
            <w:color w:val="0000ee"/>
            <w:sz w:val="24"/>
            <w:szCs w:val="24"/>
            <w:u w:val="single"/>
            <w:rtl w:val="0"/>
          </w:rPr>
          <w:t xml:space="preserve">https://www.studyiq.com/articles/indias-achievements-after-79-years-of-independence/</w:t>
        </w:r>
      </w:hyperlink>
      <w:r w:rsidDel="00000000" w:rsidR="00000000" w:rsidRPr="00000000">
        <w:rPr>
          <w:rtl w:val="0"/>
        </w:rPr>
      </w:r>
    </w:p>
    <w:p w:rsidR="00000000" w:rsidDel="00000000" w:rsidP="00000000" w:rsidRDefault="00000000" w:rsidRPr="00000000" w14:paraId="0000011F">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Five Year Plan in India, History, Objectives, Complete List, accessed February 17, 2026, </w:t>
      </w:r>
      <w:hyperlink r:id="rId34">
        <w:r w:rsidDel="00000000" w:rsidR="00000000" w:rsidRPr="00000000">
          <w:rPr>
            <w:rFonts w:ascii="Google Sans" w:cs="Google Sans" w:eastAsia="Google Sans" w:hAnsi="Google Sans"/>
            <w:color w:val="0000ee"/>
            <w:sz w:val="24"/>
            <w:szCs w:val="24"/>
            <w:u w:val="single"/>
            <w:rtl w:val="0"/>
          </w:rPr>
          <w:t xml:space="preserve">https://vajiramandravi.com/current-affairs/five-year-plan-in-india/</w:t>
        </w:r>
      </w:hyperlink>
      <w:r w:rsidDel="00000000" w:rsidR="00000000" w:rsidRPr="00000000">
        <w:rPr>
          <w:rtl w:val="0"/>
        </w:rPr>
      </w:r>
    </w:p>
    <w:p w:rsidR="00000000" w:rsidDel="00000000" w:rsidP="00000000" w:rsidRDefault="00000000" w:rsidRPr="00000000" w14:paraId="00000120">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Indian economy since 1947, a look at key milestones - The Indian Panorama, accessed February 17, 2026, </w:t>
      </w:r>
      <w:hyperlink r:id="rId35">
        <w:r w:rsidDel="00000000" w:rsidR="00000000" w:rsidRPr="00000000">
          <w:rPr>
            <w:rFonts w:ascii="Google Sans" w:cs="Google Sans" w:eastAsia="Google Sans" w:hAnsi="Google Sans"/>
            <w:color w:val="0000ee"/>
            <w:sz w:val="24"/>
            <w:szCs w:val="24"/>
            <w:u w:val="single"/>
            <w:rtl w:val="0"/>
          </w:rPr>
          <w:t xml:space="preserve">https://www.theindianpanorama.news/independence-day/indian-economy-since-1947-a-look-at-key-milestones/</w:t>
        </w:r>
      </w:hyperlink>
      <w:r w:rsidDel="00000000" w:rsidR="00000000" w:rsidRPr="00000000">
        <w:rPr>
          <w:rtl w:val="0"/>
        </w:rPr>
      </w:r>
    </w:p>
    <w:p w:rsidR="00000000" w:rsidDel="00000000" w:rsidP="00000000" w:rsidRDefault="00000000" w:rsidRPr="00000000" w14:paraId="00000121">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Five-Year Plans of India - Wikipedia, accessed February 17, 2026, </w:t>
      </w:r>
      <w:hyperlink r:id="rId36">
        <w:r w:rsidDel="00000000" w:rsidR="00000000" w:rsidRPr="00000000">
          <w:rPr>
            <w:rFonts w:ascii="Google Sans" w:cs="Google Sans" w:eastAsia="Google Sans" w:hAnsi="Google Sans"/>
            <w:color w:val="0000ee"/>
            <w:sz w:val="24"/>
            <w:szCs w:val="24"/>
            <w:u w:val="single"/>
            <w:rtl w:val="0"/>
          </w:rPr>
          <w:t xml:space="preserve">https://en.wikipedia.org/wiki/Five-Year_Plans_of_India</w:t>
        </w:r>
      </w:hyperlink>
      <w:r w:rsidDel="00000000" w:rsidR="00000000" w:rsidRPr="00000000">
        <w:rPr>
          <w:rtl w:val="0"/>
        </w:rPr>
      </w:r>
    </w:p>
    <w:p w:rsidR="00000000" w:rsidDel="00000000" w:rsidP="00000000" w:rsidRDefault="00000000" w:rsidRPr="00000000" w14:paraId="00000122">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Chapter-7 FIVE YEAR PLANS Introduction : 7.1 Indian planning is an open process. Much of the controversy and the debates that a - Ministry of Statistics and Program Implementation | Government Of India, accessed February 17, 2026, </w:t>
      </w:r>
      <w:hyperlink r:id="rId37">
        <w:r w:rsidDel="00000000" w:rsidR="00000000" w:rsidRPr="00000000">
          <w:rPr>
            <w:rFonts w:ascii="Google Sans" w:cs="Google Sans" w:eastAsia="Google Sans" w:hAnsi="Google Sans"/>
            <w:color w:val="0000ee"/>
            <w:sz w:val="24"/>
            <w:szCs w:val="24"/>
            <w:u w:val="single"/>
            <w:rtl w:val="0"/>
          </w:rPr>
          <w:t xml:space="preserve">https://www.mospi.gov.in/sites/default/files/Statistical_year_book_india_chapters/ch7.pdf</w:t>
        </w:r>
      </w:hyperlink>
      <w:r w:rsidDel="00000000" w:rsidR="00000000" w:rsidRPr="00000000">
        <w:rPr>
          <w:rtl w:val="0"/>
        </w:rPr>
      </w:r>
    </w:p>
    <w:p w:rsidR="00000000" w:rsidDel="00000000" w:rsidP="00000000" w:rsidRDefault="00000000" w:rsidRPr="00000000" w14:paraId="0000012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Five Year Plans - Drishti IAS, accessed February 17, 2026, </w:t>
      </w:r>
      <w:hyperlink r:id="rId38">
        <w:r w:rsidDel="00000000" w:rsidR="00000000" w:rsidRPr="00000000">
          <w:rPr>
            <w:rFonts w:ascii="Google Sans" w:cs="Google Sans" w:eastAsia="Google Sans" w:hAnsi="Google Sans"/>
            <w:color w:val="0000ee"/>
            <w:sz w:val="24"/>
            <w:szCs w:val="24"/>
            <w:u w:val="single"/>
            <w:rtl w:val="0"/>
          </w:rPr>
          <w:t xml:space="preserve">https://www.drishtiias.com/to-the-points/paper3/five-year-plans</w:t>
        </w:r>
      </w:hyperlink>
      <w:r w:rsidDel="00000000" w:rsidR="00000000" w:rsidRPr="00000000">
        <w:rPr>
          <w:rtl w:val="0"/>
        </w:rPr>
      </w:r>
    </w:p>
    <w:p w:rsidR="00000000" w:rsidDel="00000000" w:rsidP="00000000" w:rsidRDefault="00000000" w:rsidRPr="00000000" w14:paraId="00000124">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Planning – Five Year Plans in India - BYJU'S, accessed February 17, 2026, </w:t>
      </w:r>
      <w:hyperlink r:id="rId39">
        <w:r w:rsidDel="00000000" w:rsidR="00000000" w:rsidRPr="00000000">
          <w:rPr>
            <w:rFonts w:ascii="Google Sans" w:cs="Google Sans" w:eastAsia="Google Sans" w:hAnsi="Google Sans"/>
            <w:color w:val="0000ee"/>
            <w:sz w:val="24"/>
            <w:szCs w:val="24"/>
            <w:u w:val="single"/>
            <w:rtl w:val="0"/>
          </w:rPr>
          <w:t xml:space="preserve">https://byjus.com/free-ias-prep/ias-preparation-economy-planning-in-india/</w:t>
        </w:r>
      </w:hyperlink>
      <w:r w:rsidDel="00000000" w:rsidR="00000000" w:rsidRPr="00000000">
        <w:rPr>
          <w:rtl w:val="0"/>
        </w:rPr>
      </w:r>
    </w:p>
    <w:p w:rsidR="00000000" w:rsidDel="00000000" w:rsidP="00000000" w:rsidRDefault="00000000" w:rsidRPr="00000000" w14:paraId="00000125">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 The National Legacy in India: Evolution of Agricultural Policy since the Sixties, accessed February 17, 2026, </w:t>
      </w:r>
      <w:hyperlink r:id="rId40">
        <w:r w:rsidDel="00000000" w:rsidR="00000000" w:rsidRPr="00000000">
          <w:rPr>
            <w:rFonts w:ascii="Google Sans" w:cs="Google Sans" w:eastAsia="Google Sans" w:hAnsi="Google Sans"/>
            <w:color w:val="0000ee"/>
            <w:sz w:val="24"/>
            <w:szCs w:val="24"/>
            <w:u w:val="single"/>
            <w:rtl w:val="0"/>
          </w:rPr>
          <w:t xml:space="preserve">https://books.openedition.org/editionsmsh/7542</w:t>
        </w:r>
      </w:hyperlink>
      <w:r w:rsidDel="00000000" w:rsidR="00000000" w:rsidRPr="00000000">
        <w:rPr>
          <w:rtl w:val="0"/>
        </w:rPr>
      </w:r>
    </w:p>
    <w:p w:rsidR="00000000" w:rsidDel="00000000" w:rsidP="00000000" w:rsidRDefault="00000000" w:rsidRPr="00000000" w14:paraId="00000126">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Green Revolution in India: History, Objectives &amp; Impact - PadhAI.ai, accessed February 17, 2026, </w:t>
      </w:r>
      <w:hyperlink r:id="rId41">
        <w:r w:rsidDel="00000000" w:rsidR="00000000" w:rsidRPr="00000000">
          <w:rPr>
            <w:rFonts w:ascii="Google Sans" w:cs="Google Sans" w:eastAsia="Google Sans" w:hAnsi="Google Sans"/>
            <w:color w:val="0000ee"/>
            <w:sz w:val="24"/>
            <w:szCs w:val="24"/>
            <w:u w:val="single"/>
            <w:rtl w:val="0"/>
          </w:rPr>
          <w:t xml:space="preserve">https://padhai.ai/economy/green-revolution-in-india</w:t>
        </w:r>
      </w:hyperlink>
      <w:r w:rsidDel="00000000" w:rsidR="00000000" w:rsidRPr="00000000">
        <w:rPr>
          <w:rtl w:val="0"/>
        </w:rPr>
      </w:r>
    </w:p>
    <w:p w:rsidR="00000000" w:rsidDel="00000000" w:rsidP="00000000" w:rsidRDefault="00000000" w:rsidRPr="00000000" w14:paraId="0000012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Agricultural Development in India: From Land Reforms to the Rainbow Revolution, accessed February 17, 2026, </w:t>
      </w:r>
      <w:hyperlink r:id="rId42">
        <w:r w:rsidDel="00000000" w:rsidR="00000000" w:rsidRPr="00000000">
          <w:rPr>
            <w:rFonts w:ascii="Google Sans" w:cs="Google Sans" w:eastAsia="Google Sans" w:hAnsi="Google Sans"/>
            <w:color w:val="0000ee"/>
            <w:sz w:val="24"/>
            <w:szCs w:val="24"/>
            <w:u w:val="single"/>
            <w:rtl w:val="0"/>
          </w:rPr>
          <w:t xml:space="preserve">https://urbanstudies.institute/development-issues-and-perspectives/agricultural-development-india-land-reforms-rainbow-revolution/</w:t>
        </w:r>
      </w:hyperlink>
      <w:r w:rsidDel="00000000" w:rsidR="00000000" w:rsidRPr="00000000">
        <w:rPr>
          <w:rtl w:val="0"/>
        </w:rPr>
      </w:r>
    </w:p>
    <w:p w:rsidR="00000000" w:rsidDel="00000000" w:rsidP="00000000" w:rsidRDefault="00000000" w:rsidRPr="00000000" w14:paraId="00000128">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New Industrial Policy 2026 &amp; Evolution of Industrial Policies in India - Testbook, accessed February 17, 2026, </w:t>
      </w:r>
      <w:hyperlink r:id="rId43">
        <w:r w:rsidDel="00000000" w:rsidR="00000000" w:rsidRPr="00000000">
          <w:rPr>
            <w:rFonts w:ascii="Google Sans" w:cs="Google Sans" w:eastAsia="Google Sans" w:hAnsi="Google Sans"/>
            <w:color w:val="0000ee"/>
            <w:sz w:val="24"/>
            <w:szCs w:val="24"/>
            <w:u w:val="single"/>
            <w:rtl w:val="0"/>
          </w:rPr>
          <w:t xml:space="preserve">https://testbook.com/ias-preparation/industrial-policy-of-india</w:t>
        </w:r>
      </w:hyperlink>
      <w:r w:rsidDel="00000000" w:rsidR="00000000" w:rsidRPr="00000000">
        <w:rPr>
          <w:rtl w:val="0"/>
        </w:rPr>
      </w:r>
    </w:p>
    <w:p w:rsidR="00000000" w:rsidDel="00000000" w:rsidP="00000000" w:rsidRDefault="00000000" w:rsidRPr="00000000" w14:paraId="0000012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From Green Revolution to Amrit Kaal - NITI Aayog, accessed February 17, 2026, </w:t>
      </w:r>
      <w:hyperlink r:id="rId44">
        <w:r w:rsidDel="00000000" w:rsidR="00000000" w:rsidRPr="00000000">
          <w:rPr>
            <w:rFonts w:ascii="Google Sans" w:cs="Google Sans" w:eastAsia="Google Sans" w:hAnsi="Google Sans"/>
            <w:color w:val="0000ee"/>
            <w:sz w:val="24"/>
            <w:szCs w:val="24"/>
            <w:u w:val="single"/>
            <w:rtl w:val="0"/>
          </w:rPr>
          <w:t xml:space="preserve">https://www.niti.gov.in/sites/default/files/2023-07/Aggricultrue_Amritkal.pdf</w:t>
        </w:r>
      </w:hyperlink>
      <w:r w:rsidDel="00000000" w:rsidR="00000000" w:rsidRPr="00000000">
        <w:rPr>
          <w:rtl w:val="0"/>
        </w:rPr>
      </w:r>
    </w:p>
    <w:p w:rsidR="00000000" w:rsidDel="00000000" w:rsidP="00000000" w:rsidRDefault="00000000" w:rsidRPr="00000000" w14:paraId="0000012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Revisiting the Impacts of the Green Revolution in India | Institute for Policy and Governance | Virginia Tech, accessed February 17, 2026, </w:t>
      </w:r>
      <w:hyperlink r:id="rId45">
        <w:r w:rsidDel="00000000" w:rsidR="00000000" w:rsidRPr="00000000">
          <w:rPr>
            <w:rFonts w:ascii="Google Sans" w:cs="Google Sans" w:eastAsia="Google Sans" w:hAnsi="Google Sans"/>
            <w:color w:val="0000ee"/>
            <w:sz w:val="24"/>
            <w:szCs w:val="24"/>
            <w:u w:val="single"/>
            <w:rtl w:val="0"/>
          </w:rPr>
          <w:t xml:space="preserve">https://ipg.vt.edu/DirectorsCorner/re--reflections-and-explorations/Reflections101520.html</w:t>
        </w:r>
      </w:hyperlink>
      <w:r w:rsidDel="00000000" w:rsidR="00000000" w:rsidRPr="00000000">
        <w:rPr>
          <w:rtl w:val="0"/>
        </w:rPr>
      </w:r>
    </w:p>
    <w:p w:rsidR="00000000" w:rsidDel="00000000" w:rsidP="00000000" w:rsidRDefault="00000000" w:rsidRPr="00000000" w14:paraId="0000012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Story of Indian Agriculture: A Saga of Growth and Resilience Through the Ages, accessed February 17, 2026, </w:t>
      </w:r>
      <w:hyperlink r:id="rId46">
        <w:r w:rsidDel="00000000" w:rsidR="00000000" w:rsidRPr="00000000">
          <w:rPr>
            <w:rFonts w:ascii="Google Sans" w:cs="Google Sans" w:eastAsia="Google Sans" w:hAnsi="Google Sans"/>
            <w:color w:val="0000ee"/>
            <w:sz w:val="24"/>
            <w:szCs w:val="24"/>
            <w:u w:val="single"/>
            <w:rtl w:val="0"/>
          </w:rPr>
          <w:t xml:space="preserve">https://www.salamkisan.com/news/story-of-indian-agriculture-a-saga-of-growth-and-resilience-through-the-ages</w:t>
        </w:r>
      </w:hyperlink>
      <w:r w:rsidDel="00000000" w:rsidR="00000000" w:rsidRPr="00000000">
        <w:rPr>
          <w:rtl w:val="0"/>
        </w:rPr>
      </w:r>
    </w:p>
    <w:p w:rsidR="00000000" w:rsidDel="00000000" w:rsidP="00000000" w:rsidRDefault="00000000" w:rsidRPr="00000000" w14:paraId="0000012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Green Revolution - Wikipedia, accessed February 17, 2026, </w:t>
      </w:r>
      <w:hyperlink r:id="rId47">
        <w:r w:rsidDel="00000000" w:rsidR="00000000" w:rsidRPr="00000000">
          <w:rPr>
            <w:rFonts w:ascii="Google Sans" w:cs="Google Sans" w:eastAsia="Google Sans" w:hAnsi="Google Sans"/>
            <w:color w:val="0000ee"/>
            <w:sz w:val="24"/>
            <w:szCs w:val="24"/>
            <w:u w:val="single"/>
            <w:rtl w:val="0"/>
          </w:rPr>
          <w:t xml:space="preserve">https://en.wikipedia.org/wiki/Green_Revolution</w:t>
        </w:r>
      </w:hyperlink>
      <w:r w:rsidDel="00000000" w:rsidR="00000000" w:rsidRPr="00000000">
        <w:rPr>
          <w:rtl w:val="0"/>
        </w:rPr>
      </w:r>
    </w:p>
    <w:p w:rsidR="00000000" w:rsidDel="00000000" w:rsidP="00000000" w:rsidRDefault="00000000" w:rsidRPr="00000000" w14:paraId="0000012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Agricultural Development in India since Independence: A Study on Progress, Performance, and Determinants, accessed February 17, 2026, </w:t>
      </w:r>
      <w:hyperlink r:id="rId48">
        <w:r w:rsidDel="00000000" w:rsidR="00000000" w:rsidRPr="00000000">
          <w:rPr>
            <w:rFonts w:ascii="Google Sans" w:cs="Google Sans" w:eastAsia="Google Sans" w:hAnsi="Google Sans"/>
            <w:color w:val="0000ee"/>
            <w:sz w:val="24"/>
            <w:szCs w:val="24"/>
            <w:u w:val="single"/>
            <w:rtl w:val="0"/>
          </w:rPr>
          <w:t xml:space="preserve">https://digitalcommons.kennesaw.edu/cgi/viewcontent.cgi?article=1007&amp;context=jekem</w:t>
        </w:r>
      </w:hyperlink>
      <w:r w:rsidDel="00000000" w:rsidR="00000000" w:rsidRPr="00000000">
        <w:rPr>
          <w:rtl w:val="0"/>
        </w:rPr>
      </w:r>
    </w:p>
    <w:p w:rsidR="00000000" w:rsidDel="00000000" w:rsidP="00000000" w:rsidRDefault="00000000" w:rsidRPr="00000000" w14:paraId="0000012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History and Evolution of Agricultural Policies in India, accessed February 17, 2026, </w:t>
      </w:r>
      <w:hyperlink r:id="rId49">
        <w:r w:rsidDel="00000000" w:rsidR="00000000" w:rsidRPr="00000000">
          <w:rPr>
            <w:rFonts w:ascii="Google Sans" w:cs="Google Sans" w:eastAsia="Google Sans" w:hAnsi="Google Sans"/>
            <w:color w:val="0000ee"/>
            <w:sz w:val="24"/>
            <w:szCs w:val="24"/>
            <w:u w:val="single"/>
            <w:rtl w:val="0"/>
          </w:rPr>
          <w:t xml:space="preserve">https://agriculture.institute/agribusiness-mgt-policies/history-evolution-agricultural-policies-india/</w:t>
        </w:r>
      </w:hyperlink>
      <w:r w:rsidDel="00000000" w:rsidR="00000000" w:rsidRPr="00000000">
        <w:rPr>
          <w:rtl w:val="0"/>
        </w:rPr>
      </w:r>
    </w:p>
    <w:p w:rsidR="00000000" w:rsidDel="00000000" w:rsidP="00000000" w:rsidRDefault="00000000" w:rsidRPr="00000000" w14:paraId="0000012F">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Agriculture in India - Wikipedia, accessed February 17, 2026, </w:t>
      </w:r>
      <w:hyperlink r:id="rId50">
        <w:r w:rsidDel="00000000" w:rsidR="00000000" w:rsidRPr="00000000">
          <w:rPr>
            <w:rFonts w:ascii="Google Sans" w:cs="Google Sans" w:eastAsia="Google Sans" w:hAnsi="Google Sans"/>
            <w:color w:val="0000ee"/>
            <w:sz w:val="24"/>
            <w:szCs w:val="24"/>
            <w:u w:val="single"/>
            <w:rtl w:val="0"/>
          </w:rPr>
          <w:t xml:space="preserve">https://en.wikipedia.org/wiki/Agriculture_in_India</w:t>
        </w:r>
      </w:hyperlink>
      <w:r w:rsidDel="00000000" w:rsidR="00000000" w:rsidRPr="00000000">
        <w:rPr>
          <w:rtl w:val="0"/>
        </w:rPr>
      </w:r>
    </w:p>
    <w:p w:rsidR="00000000" w:rsidDel="00000000" w:rsidP="00000000" w:rsidRDefault="00000000" w:rsidRPr="00000000" w14:paraId="00000130">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Green Revolution in India - Wikipedia, accessed February 17, 2026, </w:t>
      </w:r>
      <w:hyperlink r:id="rId51">
        <w:r w:rsidDel="00000000" w:rsidR="00000000" w:rsidRPr="00000000">
          <w:rPr>
            <w:rFonts w:ascii="Google Sans" w:cs="Google Sans" w:eastAsia="Google Sans" w:hAnsi="Google Sans"/>
            <w:color w:val="0000ee"/>
            <w:sz w:val="24"/>
            <w:szCs w:val="24"/>
            <w:u w:val="single"/>
            <w:rtl w:val="0"/>
          </w:rPr>
          <w:t xml:space="preserve">https://en.wikipedia.org/wiki/Green_Revolution_in_India</w:t>
        </w:r>
      </w:hyperlink>
      <w:r w:rsidDel="00000000" w:rsidR="00000000" w:rsidRPr="00000000">
        <w:rPr>
          <w:rtl w:val="0"/>
        </w:rPr>
      </w:r>
    </w:p>
    <w:p w:rsidR="00000000" w:rsidDel="00000000" w:rsidP="00000000" w:rsidRDefault="00000000" w:rsidRPr="00000000" w14:paraId="00000131">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ECONOMIC SURVEY 2025-26, accessed February 17, 2026, </w:t>
      </w:r>
      <w:hyperlink r:id="rId52">
        <w:r w:rsidDel="00000000" w:rsidR="00000000" w:rsidRPr="00000000">
          <w:rPr>
            <w:rFonts w:ascii="Google Sans" w:cs="Google Sans" w:eastAsia="Google Sans" w:hAnsi="Google Sans"/>
            <w:color w:val="0000ee"/>
            <w:sz w:val="24"/>
            <w:szCs w:val="24"/>
            <w:u w:val="single"/>
            <w:rtl w:val="0"/>
          </w:rPr>
          <w:t xml:space="preserve">https://www.pib.gov.in/PressReleasePage.aspx?PRID=2219907</w:t>
        </w:r>
      </w:hyperlink>
      <w:r w:rsidDel="00000000" w:rsidR="00000000" w:rsidRPr="00000000">
        <w:rPr>
          <w:rtl w:val="0"/>
        </w:rPr>
      </w:r>
    </w:p>
    <w:p w:rsidR="00000000" w:rsidDel="00000000" w:rsidP="00000000" w:rsidRDefault="00000000" w:rsidRPr="00000000" w14:paraId="00000132">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Analysis of Kisan Credit Card (KCC) Yojana - Niti Tantra, accessed February 17, 2026, </w:t>
      </w:r>
      <w:hyperlink r:id="rId53">
        <w:r w:rsidDel="00000000" w:rsidR="00000000" w:rsidRPr="00000000">
          <w:rPr>
            <w:rFonts w:ascii="Google Sans" w:cs="Google Sans" w:eastAsia="Google Sans" w:hAnsi="Google Sans"/>
            <w:color w:val="0000ee"/>
            <w:sz w:val="24"/>
            <w:szCs w:val="24"/>
            <w:u w:val="single"/>
            <w:rtl w:val="0"/>
          </w:rPr>
          <w:t xml:space="preserve">https://nititantra.com/analysis-of-kisan-credit-card-kcc-yojana/</w:t>
        </w:r>
      </w:hyperlink>
      <w:r w:rsidDel="00000000" w:rsidR="00000000" w:rsidRPr="00000000">
        <w:rPr>
          <w:rtl w:val="0"/>
        </w:rPr>
      </w:r>
    </w:p>
    <w:p w:rsidR="00000000" w:rsidDel="00000000" w:rsidP="00000000" w:rsidRDefault="00000000" w:rsidRPr="00000000" w14:paraId="0000013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KEY HIGHLIGHTS OF UNION BUDGET 2025-26 - vamnicom, accessed February 17, 2026, </w:t>
      </w:r>
      <w:hyperlink r:id="rId54">
        <w:r w:rsidDel="00000000" w:rsidR="00000000" w:rsidRPr="00000000">
          <w:rPr>
            <w:rFonts w:ascii="Google Sans" w:cs="Google Sans" w:eastAsia="Google Sans" w:hAnsi="Google Sans"/>
            <w:color w:val="0000ee"/>
            <w:sz w:val="24"/>
            <w:szCs w:val="24"/>
            <w:u w:val="single"/>
            <w:rtl w:val="0"/>
          </w:rPr>
          <w:t xml:space="preserve">https://vamnicom.gov.in/uploads/Key_Highlights_Union_Budget2025-26.pdf</w:t>
        </w:r>
      </w:hyperlink>
      <w:r w:rsidDel="00000000" w:rsidR="00000000" w:rsidRPr="00000000">
        <w:rPr>
          <w:rtl w:val="0"/>
        </w:rPr>
      </w:r>
    </w:p>
    <w:p w:rsidR="00000000" w:rsidDel="00000000" w:rsidP="00000000" w:rsidRDefault="00000000" w:rsidRPr="00000000" w14:paraId="00000134">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10 Years of Transformation: Revolutionizing Agriculture - PIB, accessed February 17, 2026, </w:t>
      </w:r>
      <w:hyperlink r:id="rId55">
        <w:r w:rsidDel="00000000" w:rsidR="00000000" w:rsidRPr="00000000">
          <w:rPr>
            <w:rFonts w:ascii="Google Sans" w:cs="Google Sans" w:eastAsia="Google Sans" w:hAnsi="Google Sans"/>
            <w:color w:val="0000ee"/>
            <w:sz w:val="24"/>
            <w:szCs w:val="24"/>
            <w:u w:val="single"/>
            <w:rtl w:val="0"/>
          </w:rPr>
          <w:t xml:space="preserve">https://www.pib.gov.in/PressNoteDetails.aspx?NoteId=151859&amp;ModuleId=3</w:t>
        </w:r>
      </w:hyperlink>
      <w:r w:rsidDel="00000000" w:rsidR="00000000" w:rsidRPr="00000000">
        <w:rPr>
          <w:rtl w:val="0"/>
        </w:rPr>
      </w:r>
    </w:p>
    <w:p w:rsidR="00000000" w:rsidDel="00000000" w:rsidP="00000000" w:rsidRDefault="00000000" w:rsidRPr="00000000" w14:paraId="00000135">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Evolution of Indian Agriculture Industry: Key Policies and Reforms - [x]cube LABS, accessed February 17, 2026, </w:t>
      </w:r>
      <w:hyperlink r:id="rId56">
        <w:r w:rsidDel="00000000" w:rsidR="00000000" w:rsidRPr="00000000">
          <w:rPr>
            <w:rFonts w:ascii="Google Sans" w:cs="Google Sans" w:eastAsia="Google Sans" w:hAnsi="Google Sans"/>
            <w:color w:val="0000ee"/>
            <w:sz w:val="24"/>
            <w:szCs w:val="24"/>
            <w:u w:val="single"/>
            <w:rtl w:val="0"/>
          </w:rPr>
          <w:t xml:space="preserve">https://www.xcubelabs.com/blog/the-evolution-of-indian-agriculture-industry-key-policies-and-reforms/</w:t>
        </w:r>
      </w:hyperlink>
      <w:r w:rsidDel="00000000" w:rsidR="00000000" w:rsidRPr="00000000">
        <w:rPr>
          <w:rtl w:val="0"/>
        </w:rPr>
      </w:r>
    </w:p>
    <w:p w:rsidR="00000000" w:rsidDel="00000000" w:rsidP="00000000" w:rsidRDefault="00000000" w:rsidRPr="00000000" w14:paraId="00000136">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Industrial Policy - Drishti IAS, accessed February 17, 2026, </w:t>
      </w:r>
      <w:hyperlink r:id="rId57">
        <w:r w:rsidDel="00000000" w:rsidR="00000000" w:rsidRPr="00000000">
          <w:rPr>
            <w:rFonts w:ascii="Google Sans" w:cs="Google Sans" w:eastAsia="Google Sans" w:hAnsi="Google Sans"/>
            <w:color w:val="0000ee"/>
            <w:sz w:val="24"/>
            <w:szCs w:val="24"/>
            <w:u w:val="single"/>
            <w:rtl w:val="0"/>
          </w:rPr>
          <w:t xml:space="preserve">https://www.drishtiias.com/to-the-points/paper3/india-s-industrial-policy</w:t>
        </w:r>
      </w:hyperlink>
      <w:r w:rsidDel="00000000" w:rsidR="00000000" w:rsidRPr="00000000">
        <w:rPr>
          <w:rtl w:val="0"/>
        </w:rPr>
      </w:r>
    </w:p>
    <w:p w:rsidR="00000000" w:rsidDel="00000000" w:rsidP="00000000" w:rsidRDefault="00000000" w:rsidRPr="00000000" w14:paraId="0000013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Policy in India - BYJU'S, accessed February 17, 2026, </w:t>
      </w:r>
      <w:hyperlink r:id="rId58">
        <w:r w:rsidDel="00000000" w:rsidR="00000000" w:rsidRPr="00000000">
          <w:rPr>
            <w:rFonts w:ascii="Google Sans" w:cs="Google Sans" w:eastAsia="Google Sans" w:hAnsi="Google Sans"/>
            <w:color w:val="0000ee"/>
            <w:sz w:val="24"/>
            <w:szCs w:val="24"/>
            <w:u w:val="single"/>
            <w:rtl w:val="0"/>
          </w:rPr>
          <w:t xml:space="preserve">https://byjus.com/free-ias-prep/industrial-policy-india/</w:t>
        </w:r>
      </w:hyperlink>
      <w:r w:rsidDel="00000000" w:rsidR="00000000" w:rsidRPr="00000000">
        <w:rPr>
          <w:rtl w:val="0"/>
        </w:rPr>
      </w:r>
    </w:p>
    <w:p w:rsidR="00000000" w:rsidDel="00000000" w:rsidP="00000000" w:rsidRDefault="00000000" w:rsidRPr="00000000" w14:paraId="00000138">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Evolution of Industrial Policies in India - Lukmaan IAS Economy, accessed February 17, 2026, </w:t>
      </w:r>
      <w:hyperlink r:id="rId59">
        <w:r w:rsidDel="00000000" w:rsidR="00000000" w:rsidRPr="00000000">
          <w:rPr>
            <w:rFonts w:ascii="Google Sans" w:cs="Google Sans" w:eastAsia="Google Sans" w:hAnsi="Google Sans"/>
            <w:color w:val="0000ee"/>
            <w:sz w:val="24"/>
            <w:szCs w:val="24"/>
            <w:u w:val="single"/>
            <w:rtl w:val="0"/>
          </w:rPr>
          <w:t xml:space="preserve">https://blog.lukmaanias.com/2025/05/24/evolution-of-industrial-policies-in-india/</w:t>
        </w:r>
      </w:hyperlink>
      <w:r w:rsidDel="00000000" w:rsidR="00000000" w:rsidRPr="00000000">
        <w:rPr>
          <w:rtl w:val="0"/>
        </w:rPr>
      </w:r>
    </w:p>
    <w:p w:rsidR="00000000" w:rsidDel="00000000" w:rsidP="00000000" w:rsidRDefault="00000000" w:rsidRPr="00000000" w14:paraId="0000013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policy in India since independence - PMC, accessed February 17, 2026, </w:t>
      </w:r>
      <w:hyperlink r:id="rId60">
        <w:r w:rsidDel="00000000" w:rsidR="00000000" w:rsidRPr="00000000">
          <w:rPr>
            <w:rFonts w:ascii="Google Sans" w:cs="Google Sans" w:eastAsia="Google Sans" w:hAnsi="Google Sans"/>
            <w:color w:val="0000ee"/>
            <w:sz w:val="24"/>
            <w:szCs w:val="24"/>
            <w:u w:val="single"/>
            <w:rtl w:val="0"/>
          </w:rPr>
          <w:t xml:space="preserve">https://pmc.ncbi.nlm.nih.gov/articles/PMC9940074/</w:t>
        </w:r>
      </w:hyperlink>
      <w:r w:rsidDel="00000000" w:rsidR="00000000" w:rsidRPr="00000000">
        <w:rPr>
          <w:rtl w:val="0"/>
        </w:rPr>
      </w:r>
    </w:p>
    <w:p w:rsidR="00000000" w:rsidDel="00000000" w:rsidP="00000000" w:rsidRDefault="00000000" w:rsidRPr="00000000" w14:paraId="0000013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New Economic Policy and Industry in Post-Liberalization Era - Plutus IAS, accessed February 17, 2026, </w:t>
      </w:r>
      <w:hyperlink r:id="rId61">
        <w:r w:rsidDel="00000000" w:rsidR="00000000" w:rsidRPr="00000000">
          <w:rPr>
            <w:rFonts w:ascii="Google Sans" w:cs="Google Sans" w:eastAsia="Google Sans" w:hAnsi="Google Sans"/>
            <w:color w:val="0000ee"/>
            <w:sz w:val="24"/>
            <w:szCs w:val="24"/>
            <w:u w:val="single"/>
            <w:rtl w:val="0"/>
          </w:rPr>
          <w:t xml:space="preserve">https://plutusias.com/new-economic-policy-and-industry-in-post-liberalization-era/</w:t>
        </w:r>
      </w:hyperlink>
      <w:r w:rsidDel="00000000" w:rsidR="00000000" w:rsidRPr="00000000">
        <w:rPr>
          <w:rtl w:val="0"/>
        </w:rPr>
      </w:r>
    </w:p>
    <w:p w:rsidR="00000000" w:rsidDel="00000000" w:rsidP="00000000" w:rsidRDefault="00000000" w:rsidRPr="00000000" w14:paraId="0000013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echapter.pdf - India Budget, accessed February 17, 2026, </w:t>
      </w:r>
      <w:hyperlink r:id="rId62">
        <w:r w:rsidDel="00000000" w:rsidR="00000000" w:rsidRPr="00000000">
          <w:rPr>
            <w:rFonts w:ascii="Google Sans" w:cs="Google Sans" w:eastAsia="Google Sans" w:hAnsi="Google Sans"/>
            <w:color w:val="0000ee"/>
            <w:sz w:val="24"/>
            <w:szCs w:val="24"/>
            <w:u w:val="single"/>
            <w:rtl w:val="0"/>
          </w:rPr>
          <w:t xml:space="preserve">https://www.indiabudget.gov.in/economicsurvey/doc/echapter.pdf</w:t>
        </w:r>
      </w:hyperlink>
      <w:r w:rsidDel="00000000" w:rsidR="00000000" w:rsidRPr="00000000">
        <w:rPr>
          <w:rtl w:val="0"/>
        </w:rPr>
      </w:r>
    </w:p>
    <w:p w:rsidR="00000000" w:rsidDel="00000000" w:rsidP="00000000" w:rsidRDefault="00000000" w:rsidRPr="00000000" w14:paraId="0000013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Key Features of Budget 2026-2027, accessed February 17, 2026, </w:t>
      </w:r>
      <w:hyperlink r:id="rId63">
        <w:r w:rsidDel="00000000" w:rsidR="00000000" w:rsidRPr="00000000">
          <w:rPr>
            <w:rFonts w:ascii="Google Sans" w:cs="Google Sans" w:eastAsia="Google Sans" w:hAnsi="Google Sans"/>
            <w:color w:val="0000ee"/>
            <w:sz w:val="24"/>
            <w:szCs w:val="24"/>
            <w:u w:val="single"/>
            <w:rtl w:val="0"/>
          </w:rPr>
          <w:t xml:space="preserve">https://www.indiabudget.gov.in/doc/bh1.pdf</w:t>
        </w:r>
      </w:hyperlink>
      <w:r w:rsidDel="00000000" w:rsidR="00000000" w:rsidRPr="00000000">
        <w:rPr>
          <w:rtl w:val="0"/>
        </w:rPr>
      </w:r>
    </w:p>
    <w:p w:rsidR="00000000" w:rsidDel="00000000" w:rsidP="00000000" w:rsidRDefault="00000000" w:rsidRPr="00000000" w14:paraId="0000013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 Committee Reports, accessed February 17, 2026, </w:t>
      </w:r>
      <w:hyperlink r:id="rId64">
        <w:r w:rsidDel="00000000" w:rsidR="00000000" w:rsidRPr="00000000">
          <w:rPr>
            <w:rFonts w:ascii="Google Sans" w:cs="Google Sans" w:eastAsia="Google Sans" w:hAnsi="Google Sans"/>
            <w:color w:val="0000ee"/>
            <w:sz w:val="24"/>
            <w:szCs w:val="24"/>
            <w:u w:val="single"/>
            <w:rtl w:val="0"/>
          </w:rPr>
          <w:t xml:space="preserve">https://prsindia.org/policy/report-summaries/economic-survey-2025-26</w:t>
        </w:r>
      </w:hyperlink>
      <w:r w:rsidDel="00000000" w:rsidR="00000000" w:rsidRPr="00000000">
        <w:rPr>
          <w:rtl w:val="0"/>
        </w:rPr>
      </w:r>
    </w:p>
    <w:p w:rsidR="00000000" w:rsidDel="00000000" w:rsidP="00000000" w:rsidRDefault="00000000" w:rsidRPr="00000000" w14:paraId="0000013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 230A: Public Economics Lecture: Public Goods, Externalities - Goldman School of Public Policy, accessed February 17, 2026, </w:t>
      </w:r>
      <w:hyperlink r:id="rId65">
        <w:r w:rsidDel="00000000" w:rsidR="00000000" w:rsidRPr="00000000">
          <w:rPr>
            <w:rFonts w:ascii="Google Sans" w:cs="Google Sans" w:eastAsia="Google Sans" w:hAnsi="Google Sans"/>
            <w:color w:val="0000ee"/>
            <w:sz w:val="24"/>
            <w:szCs w:val="24"/>
            <w:u w:val="single"/>
            <w:rtl w:val="0"/>
          </w:rPr>
          <w:t xml:space="preserve">https://gspp.berkeley.edu/assets/uploads/courses/notes/Lec3-PG-Externality.pdf</w:t>
        </w:r>
      </w:hyperlink>
      <w:r w:rsidDel="00000000" w:rsidR="00000000" w:rsidRPr="00000000">
        <w:rPr>
          <w:rtl w:val="0"/>
        </w:rPr>
      </w:r>
    </w:p>
    <w:p w:rsidR="00000000" w:rsidDel="00000000" w:rsidP="00000000" w:rsidRDefault="00000000" w:rsidRPr="00000000" w14:paraId="0000013F">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Everything You Need To Know About Public Goods | Outlier, accessed February 17, 2026, </w:t>
      </w:r>
      <w:hyperlink r:id="rId66">
        <w:r w:rsidDel="00000000" w:rsidR="00000000" w:rsidRPr="00000000">
          <w:rPr>
            <w:rFonts w:ascii="Google Sans" w:cs="Google Sans" w:eastAsia="Google Sans" w:hAnsi="Google Sans"/>
            <w:color w:val="0000ee"/>
            <w:sz w:val="24"/>
            <w:szCs w:val="24"/>
            <w:u w:val="single"/>
            <w:rtl w:val="0"/>
          </w:rPr>
          <w:t xml:space="preserve">https://articles.outlier.org/what-is-a-trait-of-public-goods</w:t>
        </w:r>
      </w:hyperlink>
      <w:r w:rsidDel="00000000" w:rsidR="00000000" w:rsidRPr="00000000">
        <w:rPr>
          <w:rtl w:val="0"/>
        </w:rPr>
      </w:r>
    </w:p>
    <w:p w:rsidR="00000000" w:rsidDel="00000000" w:rsidP="00000000" w:rsidRDefault="00000000" w:rsidRPr="00000000" w14:paraId="00000140">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Public Goods - Stanford Encyclopedia of Philosophy, accessed February 17, 2026, </w:t>
      </w:r>
      <w:hyperlink r:id="rId67">
        <w:r w:rsidDel="00000000" w:rsidR="00000000" w:rsidRPr="00000000">
          <w:rPr>
            <w:rFonts w:ascii="Google Sans" w:cs="Google Sans" w:eastAsia="Google Sans" w:hAnsi="Google Sans"/>
            <w:color w:val="0000ee"/>
            <w:sz w:val="24"/>
            <w:szCs w:val="24"/>
            <w:u w:val="single"/>
            <w:rtl w:val="0"/>
          </w:rPr>
          <w:t xml:space="preserve">https://plato.stanford.edu/entries/public-goods/</w:t>
        </w:r>
      </w:hyperlink>
      <w:r w:rsidDel="00000000" w:rsidR="00000000" w:rsidRPr="00000000">
        <w:rPr>
          <w:rtl w:val="0"/>
        </w:rPr>
      </w:r>
    </w:p>
    <w:p w:rsidR="00000000" w:rsidDel="00000000" w:rsidP="00000000" w:rsidRDefault="00000000" w:rsidRPr="00000000" w14:paraId="00000141">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PUBLIC ECONOMICS - Doon University, accessed February 17, 2026, </w:t>
      </w:r>
      <w:hyperlink r:id="rId68">
        <w:r w:rsidDel="00000000" w:rsidR="00000000" w:rsidRPr="00000000">
          <w:rPr>
            <w:rFonts w:ascii="Google Sans" w:cs="Google Sans" w:eastAsia="Google Sans" w:hAnsi="Google Sans"/>
            <w:color w:val="0000ee"/>
            <w:sz w:val="24"/>
            <w:szCs w:val="24"/>
            <w:u w:val="single"/>
            <w:rtl w:val="0"/>
          </w:rPr>
          <w:t xml:space="preserve">https://www.doonuniversity.ac.in/admin/assets/uploads/docs/final_public%20finance.pdf</w:t>
        </w:r>
      </w:hyperlink>
      <w:r w:rsidDel="00000000" w:rsidR="00000000" w:rsidRPr="00000000">
        <w:rPr>
          <w:rtl w:val="0"/>
        </w:rPr>
      </w:r>
    </w:p>
    <w:p w:rsidR="00000000" w:rsidDel="00000000" w:rsidP="00000000" w:rsidRDefault="00000000" w:rsidRPr="00000000" w14:paraId="00000142">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Lesson Overview: Taxation and Deadweight Loss (article) | Khan Academy, accessed February 17, 2026, </w:t>
      </w:r>
      <w:hyperlink r:id="rId69">
        <w:r w:rsidDel="00000000" w:rsidR="00000000" w:rsidRPr="00000000">
          <w:rPr>
            <w:rFonts w:ascii="Google Sans" w:cs="Google Sans" w:eastAsia="Google Sans" w:hAnsi="Google Sans"/>
            <w:color w:val="0000ee"/>
            <w:sz w:val="24"/>
            <w:szCs w:val="24"/>
            <w:u w:val="single"/>
            <w:rtl w:val="0"/>
          </w:rPr>
          <w:t xml:space="preserve">https://www.khanacademy.org/economics-finance-domain/microeconomics/consumer-producer-surplus/deadweight-loss-tutorial/a/lesson-overview-taxation-and-deadweight-loss</w:t>
        </w:r>
      </w:hyperlink>
      <w:r w:rsidDel="00000000" w:rsidR="00000000" w:rsidRPr="00000000">
        <w:rPr>
          <w:rtl w:val="0"/>
        </w:rPr>
      </w:r>
    </w:p>
    <w:p w:rsidR="00000000" w:rsidDel="00000000" w:rsidP="00000000" w:rsidRDefault="00000000" w:rsidRPr="00000000" w14:paraId="0000014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Deadweight Loss of Taxation | Part 1| CUET PG Economics Entrance - YouTube, accessed February 17, 2026, </w:t>
      </w:r>
      <w:hyperlink r:id="rId70">
        <w:r w:rsidDel="00000000" w:rsidR="00000000" w:rsidRPr="00000000">
          <w:rPr>
            <w:rFonts w:ascii="Google Sans" w:cs="Google Sans" w:eastAsia="Google Sans" w:hAnsi="Google Sans"/>
            <w:color w:val="0000ee"/>
            <w:sz w:val="24"/>
            <w:szCs w:val="24"/>
            <w:u w:val="single"/>
            <w:rtl w:val="0"/>
          </w:rPr>
          <w:t xml:space="preserve">https://www.youtube.com/watch?v=AOqkA3X4n6A</w:t>
        </w:r>
      </w:hyperlink>
      <w:r w:rsidDel="00000000" w:rsidR="00000000" w:rsidRPr="00000000">
        <w:rPr>
          <w:rtl w:val="0"/>
        </w:rPr>
      </w:r>
    </w:p>
    <w:p w:rsidR="00000000" w:rsidDel="00000000" w:rsidP="00000000" w:rsidRDefault="00000000" w:rsidRPr="00000000" w14:paraId="00000144">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 230A: Public Economics Lecture: Deadweight Loss &amp; Optimal Commodity Taxation 1, accessed February 17, 2026, </w:t>
      </w:r>
      <w:hyperlink r:id="rId71">
        <w:r w:rsidDel="00000000" w:rsidR="00000000" w:rsidRPr="00000000">
          <w:rPr>
            <w:rFonts w:ascii="Google Sans" w:cs="Google Sans" w:eastAsia="Google Sans" w:hAnsi="Google Sans"/>
            <w:color w:val="0000ee"/>
            <w:sz w:val="24"/>
            <w:szCs w:val="24"/>
            <w:u w:val="single"/>
            <w:rtl w:val="0"/>
          </w:rPr>
          <w:t xml:space="preserve">https://gspp.berkeley.edu/assets/uploads/courses/notes/Lec2-DWL-Optimal-Tax.pdf</w:t>
        </w:r>
      </w:hyperlink>
      <w:r w:rsidDel="00000000" w:rsidR="00000000" w:rsidRPr="00000000">
        <w:rPr>
          <w:rtl w:val="0"/>
        </w:rPr>
      </w:r>
    </w:p>
    <w:p w:rsidR="00000000" w:rsidDel="00000000" w:rsidP="00000000" w:rsidRDefault="00000000" w:rsidRPr="00000000" w14:paraId="00000145">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FRB: Finance and Economics Discussion Series: Screen Reader Version - 200911, accessed February 17, 2026, </w:t>
      </w:r>
      <w:hyperlink r:id="rId72">
        <w:r w:rsidDel="00000000" w:rsidR="00000000" w:rsidRPr="00000000">
          <w:rPr>
            <w:rFonts w:ascii="Google Sans" w:cs="Google Sans" w:eastAsia="Google Sans" w:hAnsi="Google Sans"/>
            <w:color w:val="0000ee"/>
            <w:sz w:val="24"/>
            <w:szCs w:val="24"/>
            <w:u w:val="single"/>
            <w:rtl w:val="0"/>
          </w:rPr>
          <w:t xml:space="preserve">https://www.federalreserve.gov/pubs/feds/2009/200911/index.html</w:t>
        </w:r>
      </w:hyperlink>
      <w:r w:rsidDel="00000000" w:rsidR="00000000" w:rsidRPr="00000000">
        <w:rPr>
          <w:rtl w:val="0"/>
        </w:rPr>
      </w:r>
    </w:p>
    <w:p w:rsidR="00000000" w:rsidDel="00000000" w:rsidP="00000000" w:rsidRDefault="00000000" w:rsidRPr="00000000" w14:paraId="00000146">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Public Economics Taxation II: Optimal Taxation - RUA, accessed February 17, 2026, </w:t>
      </w:r>
      <w:hyperlink r:id="rId73">
        <w:r w:rsidDel="00000000" w:rsidR="00000000" w:rsidRPr="00000000">
          <w:rPr>
            <w:rFonts w:ascii="Google Sans" w:cs="Google Sans" w:eastAsia="Google Sans" w:hAnsi="Google Sans"/>
            <w:color w:val="0000ee"/>
            <w:sz w:val="24"/>
            <w:szCs w:val="24"/>
            <w:u w:val="single"/>
            <w:rtl w:val="0"/>
          </w:rPr>
          <w:t xml:space="preserve">https://rua.ua.es/bitstream/10045/23484/2/Taxes_Optimal_12.pdf</w:t>
        </w:r>
      </w:hyperlink>
      <w:r w:rsidDel="00000000" w:rsidR="00000000" w:rsidRPr="00000000">
        <w:rPr>
          <w:rtl w:val="0"/>
        </w:rPr>
      </w:r>
    </w:p>
    <w:p w:rsidR="00000000" w:rsidDel="00000000" w:rsidP="00000000" w:rsidRDefault="00000000" w:rsidRPr="00000000" w14:paraId="0000014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 Praise of Frank Ramsey's Contribution to the Theory of Taxation | The Economic Journal, accessed February 17, 2026, </w:t>
      </w:r>
      <w:hyperlink r:id="rId74">
        <w:r w:rsidDel="00000000" w:rsidR="00000000" w:rsidRPr="00000000">
          <w:rPr>
            <w:rFonts w:ascii="Google Sans" w:cs="Google Sans" w:eastAsia="Google Sans" w:hAnsi="Google Sans"/>
            <w:color w:val="0000ee"/>
            <w:sz w:val="24"/>
            <w:szCs w:val="24"/>
            <w:u w:val="single"/>
            <w:rtl w:val="0"/>
          </w:rPr>
          <w:t xml:space="preserve">https://academic.oup.com/ej/article/125/583/235/5076989</w:t>
        </w:r>
      </w:hyperlink>
      <w:r w:rsidDel="00000000" w:rsidR="00000000" w:rsidRPr="00000000">
        <w:rPr>
          <w:rtl w:val="0"/>
        </w:rPr>
      </w:r>
    </w:p>
    <w:p w:rsidR="00000000" w:rsidDel="00000000" w:rsidP="00000000" w:rsidRDefault="00000000" w:rsidRPr="00000000" w14:paraId="00000148">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 Static Optimal Taxation, accessed February 17, 2026, </w:t>
      </w:r>
      <w:hyperlink r:id="rId75">
        <w:r w:rsidDel="00000000" w:rsidR="00000000" w:rsidRPr="00000000">
          <w:rPr>
            <w:rFonts w:ascii="Google Sans" w:cs="Google Sans" w:eastAsia="Google Sans" w:hAnsi="Google Sans"/>
            <w:color w:val="0000ee"/>
            <w:sz w:val="24"/>
            <w:szCs w:val="24"/>
            <w:u w:val="single"/>
            <w:rtl w:val="0"/>
          </w:rPr>
          <w:t xml:space="preserve">https://coate.economics.cornell.edu/docs/courses/73612-beamer.pdf</w:t>
        </w:r>
      </w:hyperlink>
      <w:r w:rsidDel="00000000" w:rsidR="00000000" w:rsidRPr="00000000">
        <w:rPr>
          <w:rtl w:val="0"/>
        </w:rPr>
      </w:r>
    </w:p>
    <w:p w:rsidR="00000000" w:rsidDel="00000000" w:rsidP="00000000" w:rsidRDefault="00000000" w:rsidRPr="00000000" w14:paraId="0000014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of union budget 2025-26 - PIB, accessed February 17, 2026, </w:t>
      </w:r>
      <w:hyperlink r:id="rId76">
        <w:r w:rsidDel="00000000" w:rsidR="00000000" w:rsidRPr="00000000">
          <w:rPr>
            <w:rFonts w:ascii="Google Sans" w:cs="Google Sans" w:eastAsia="Google Sans" w:hAnsi="Google Sans"/>
            <w:color w:val="0000ee"/>
            <w:sz w:val="24"/>
            <w:szCs w:val="24"/>
            <w:u w:val="single"/>
            <w:rtl w:val="0"/>
          </w:rPr>
          <w:t xml:space="preserve">https://www.pib.gov.in/PressReleaseIframePage.aspx?PRID=2098353</w:t>
        </w:r>
      </w:hyperlink>
      <w:r w:rsidDel="00000000" w:rsidR="00000000" w:rsidRPr="00000000">
        <w:rPr>
          <w:rtl w:val="0"/>
        </w:rPr>
      </w:r>
    </w:p>
    <w:p w:rsidR="00000000" w:rsidDel="00000000" w:rsidP="00000000" w:rsidRDefault="00000000" w:rsidRPr="00000000" w14:paraId="0000014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2025-26 Highlights and Economic Impact | IBEF, accessed February 17, 2026, </w:t>
      </w:r>
      <w:hyperlink r:id="rId77">
        <w:r w:rsidDel="00000000" w:rsidR="00000000" w:rsidRPr="00000000">
          <w:rPr>
            <w:rFonts w:ascii="Google Sans" w:cs="Google Sans" w:eastAsia="Google Sans" w:hAnsi="Google Sans"/>
            <w:color w:val="0000ee"/>
            <w:sz w:val="24"/>
            <w:szCs w:val="24"/>
            <w:u w:val="single"/>
            <w:rtl w:val="0"/>
          </w:rPr>
          <w:t xml:space="preserve">https://www.ibef.org/economy/union-budget-2025-26</w:t>
        </w:r>
      </w:hyperlink>
      <w:r w:rsidDel="00000000" w:rsidR="00000000" w:rsidRPr="00000000">
        <w:rPr>
          <w:rtl w:val="0"/>
        </w:rPr>
      </w:r>
    </w:p>
    <w:p w:rsidR="00000000" w:rsidDel="00000000" w:rsidP="00000000" w:rsidRDefault="00000000" w:rsidRPr="00000000" w14:paraId="0000014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economic outlook, January 2026 - Deloitte, accessed February 17, 2026, </w:t>
      </w:r>
      <w:hyperlink r:id="rId78">
        <w:r w:rsidDel="00000000" w:rsidR="00000000" w:rsidRPr="00000000">
          <w:rPr>
            <w:rFonts w:ascii="Google Sans" w:cs="Google Sans" w:eastAsia="Google Sans" w:hAnsi="Google Sans"/>
            <w:color w:val="0000ee"/>
            <w:sz w:val="24"/>
            <w:szCs w:val="24"/>
            <w:u w:val="single"/>
            <w:rtl w:val="0"/>
          </w:rPr>
          <w:t xml:space="preserve">https://www.deloitte.com/us/en/insights/topics/economy/asia-pacific/india-economic-outlook.html</w:t>
        </w:r>
      </w:hyperlink>
      <w:r w:rsidDel="00000000" w:rsidR="00000000" w:rsidRPr="00000000">
        <w:rPr>
          <w:rtl w:val="0"/>
        </w:rPr>
      </w:r>
    </w:p>
    <w:p w:rsidR="00000000" w:rsidDel="00000000" w:rsidP="00000000" w:rsidRDefault="00000000" w:rsidRPr="00000000" w14:paraId="0000014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 India Budget, accessed February 17, 2026, </w:t>
      </w:r>
      <w:hyperlink r:id="rId79">
        <w:r w:rsidDel="00000000" w:rsidR="00000000" w:rsidRPr="00000000">
          <w:rPr>
            <w:rFonts w:ascii="Google Sans" w:cs="Google Sans" w:eastAsia="Google Sans" w:hAnsi="Google Sans"/>
            <w:color w:val="0000ee"/>
            <w:sz w:val="24"/>
            <w:szCs w:val="24"/>
            <w:u w:val="single"/>
            <w:rtl w:val="0"/>
          </w:rPr>
          <w:t xml:space="preserve">https://www.indiabudget.gov.in/economicsurvey/doc/Infographics%20English.pdf</w:t>
        </w:r>
      </w:hyperlink>
      <w:r w:rsidDel="00000000" w:rsidR="00000000" w:rsidRPr="00000000">
        <w:rPr>
          <w:rtl w:val="0"/>
        </w:rPr>
      </w:r>
    </w:p>
    <w:p w:rsidR="00000000" w:rsidDel="00000000" w:rsidP="00000000" w:rsidRDefault="00000000" w:rsidRPr="00000000" w14:paraId="0000014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Fiscal Federalism in India - ClearIAS, accessed February 17, 2026, </w:t>
      </w:r>
      <w:hyperlink r:id="rId80">
        <w:r w:rsidDel="00000000" w:rsidR="00000000" w:rsidRPr="00000000">
          <w:rPr>
            <w:rFonts w:ascii="Google Sans" w:cs="Google Sans" w:eastAsia="Google Sans" w:hAnsi="Google Sans"/>
            <w:color w:val="0000ee"/>
            <w:sz w:val="24"/>
            <w:szCs w:val="24"/>
            <w:u w:val="single"/>
            <w:rtl w:val="0"/>
          </w:rPr>
          <w:t xml:space="preserve">https://www.clearias.com/fiscal-federalism/</w:t>
        </w:r>
      </w:hyperlink>
      <w:r w:rsidDel="00000000" w:rsidR="00000000" w:rsidRPr="00000000">
        <w:rPr>
          <w:rtl w:val="0"/>
        </w:rPr>
      </w:r>
    </w:p>
    <w:p w:rsidR="00000000" w:rsidDel="00000000" w:rsidP="00000000" w:rsidRDefault="00000000" w:rsidRPr="00000000" w14:paraId="0000014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Why the 16th Finance Commission must prioritize restoration of fiscal balance - EY, accessed February 17, 2026, </w:t>
      </w:r>
      <w:hyperlink r:id="rId81">
        <w:r w:rsidDel="00000000" w:rsidR="00000000" w:rsidRPr="00000000">
          <w:rPr>
            <w:rFonts w:ascii="Google Sans" w:cs="Google Sans" w:eastAsia="Google Sans" w:hAnsi="Google Sans"/>
            <w:color w:val="0000ee"/>
            <w:sz w:val="24"/>
            <w:szCs w:val="24"/>
            <w:u w:val="single"/>
            <w:rtl w:val="0"/>
          </w:rPr>
          <w:t xml:space="preserve">https://www.ey.com/en_in/insights/tax/economy-watch/why-the-16-th-finance-commission-must-prioritize-restoration-of-fiscal-balance</w:t>
        </w:r>
      </w:hyperlink>
      <w:r w:rsidDel="00000000" w:rsidR="00000000" w:rsidRPr="00000000">
        <w:rPr>
          <w:rtl w:val="0"/>
        </w:rPr>
      </w:r>
    </w:p>
    <w:p w:rsidR="00000000" w:rsidDel="00000000" w:rsidP="00000000" w:rsidRDefault="00000000" w:rsidRPr="00000000" w14:paraId="0000014F">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16th Finance Commission: Towards vertical and horizontal balance - Ideas for India, accessed February 17, 2026, </w:t>
      </w:r>
      <w:hyperlink r:id="rId82">
        <w:r w:rsidDel="00000000" w:rsidR="00000000" w:rsidRPr="00000000">
          <w:rPr>
            <w:rFonts w:ascii="Google Sans" w:cs="Google Sans" w:eastAsia="Google Sans" w:hAnsi="Google Sans"/>
            <w:color w:val="0000ee"/>
            <w:sz w:val="24"/>
            <w:szCs w:val="24"/>
            <w:u w:val="single"/>
            <w:rtl w:val="0"/>
          </w:rPr>
          <w:t xml:space="preserve">https://www.ideasforindia.in/topics/money-finance/16th-finance-commission-towards-vertical-and-horizontal-balance</w:t>
        </w:r>
      </w:hyperlink>
      <w:r w:rsidDel="00000000" w:rsidR="00000000" w:rsidRPr="00000000">
        <w:rPr>
          <w:rtl w:val="0"/>
        </w:rPr>
      </w:r>
    </w:p>
    <w:p w:rsidR="00000000" w:rsidDel="00000000" w:rsidP="00000000" w:rsidRDefault="00000000" w:rsidRPr="00000000" w14:paraId="00000150">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Issues and Approach Chapter 2 - Finance Commission, accessed February 17, 2026, </w:t>
      </w:r>
      <w:hyperlink r:id="rId83">
        <w:r w:rsidDel="00000000" w:rsidR="00000000" w:rsidRPr="00000000">
          <w:rPr>
            <w:rFonts w:ascii="Google Sans" w:cs="Google Sans" w:eastAsia="Google Sans" w:hAnsi="Google Sans"/>
            <w:color w:val="0000ee"/>
            <w:sz w:val="24"/>
            <w:szCs w:val="24"/>
            <w:u w:val="single"/>
            <w:rtl w:val="0"/>
          </w:rPr>
          <w:t xml:space="preserve">https://fincomindia.nic.in/asset/doc/commission-reports/12th-FC/reports/eng/Chapter%2002.pdf</w:t>
        </w:r>
      </w:hyperlink>
      <w:r w:rsidDel="00000000" w:rsidR="00000000" w:rsidRPr="00000000">
        <w:rPr>
          <w:rtl w:val="0"/>
        </w:rPr>
      </w:r>
    </w:p>
    <w:p w:rsidR="00000000" w:rsidDel="00000000" w:rsidP="00000000" w:rsidRDefault="00000000" w:rsidRPr="00000000" w14:paraId="00000151">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Fiscal Federalism in India, Meaning, Challenges, UPSC Notes - Vajiram &amp; Ravi, accessed February 17, 2026, </w:t>
      </w:r>
      <w:hyperlink r:id="rId84">
        <w:r w:rsidDel="00000000" w:rsidR="00000000" w:rsidRPr="00000000">
          <w:rPr>
            <w:rFonts w:ascii="Google Sans" w:cs="Google Sans" w:eastAsia="Google Sans" w:hAnsi="Google Sans"/>
            <w:color w:val="0000ee"/>
            <w:sz w:val="24"/>
            <w:szCs w:val="24"/>
            <w:u w:val="single"/>
            <w:rtl w:val="0"/>
          </w:rPr>
          <w:t xml:space="preserve">https://vajiramandravi.com/upsc-exam/fiscal-federalism/</w:t>
        </w:r>
      </w:hyperlink>
      <w:r w:rsidDel="00000000" w:rsidR="00000000" w:rsidRPr="00000000">
        <w:rPr>
          <w:rtl w:val="0"/>
        </w:rPr>
      </w:r>
    </w:p>
    <w:p w:rsidR="00000000" w:rsidDel="00000000" w:rsidP="00000000" w:rsidRDefault="00000000" w:rsidRPr="00000000" w14:paraId="00000152">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Finance Commission - Wikipedia, accessed February 17, 2026, </w:t>
      </w:r>
      <w:hyperlink r:id="rId85">
        <w:r w:rsidDel="00000000" w:rsidR="00000000" w:rsidRPr="00000000">
          <w:rPr>
            <w:rFonts w:ascii="Google Sans" w:cs="Google Sans" w:eastAsia="Google Sans" w:hAnsi="Google Sans"/>
            <w:color w:val="0000ee"/>
            <w:sz w:val="24"/>
            <w:szCs w:val="24"/>
            <w:u w:val="single"/>
            <w:rtl w:val="0"/>
          </w:rPr>
          <w:t xml:space="preserve">https://en.wikipedia.org/wiki/Finance_Commission</w:t>
        </w:r>
      </w:hyperlink>
      <w:r w:rsidDel="00000000" w:rsidR="00000000" w:rsidRPr="00000000">
        <w:rPr>
          <w:rtl w:val="0"/>
        </w:rPr>
      </w:r>
    </w:p>
    <w:p w:rsidR="00000000" w:rsidDel="00000000" w:rsidP="00000000" w:rsidRDefault="00000000" w:rsidRPr="00000000" w14:paraId="0000015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Report of the 15th Finance Commission for 2021-26 - PRS India, accessed February 17, 2026, </w:t>
      </w:r>
      <w:hyperlink r:id="rId86">
        <w:r w:rsidDel="00000000" w:rsidR="00000000" w:rsidRPr="00000000">
          <w:rPr>
            <w:rFonts w:ascii="Google Sans" w:cs="Google Sans" w:eastAsia="Google Sans" w:hAnsi="Google Sans"/>
            <w:color w:val="0000ee"/>
            <w:sz w:val="24"/>
            <w:szCs w:val="24"/>
            <w:u w:val="single"/>
            <w:rtl w:val="0"/>
          </w:rPr>
          <w:t xml:space="preserve">https://prsindia.org/policy/report-summaries/report-15th-finance-commission-2021-26</w:t>
        </w:r>
      </w:hyperlink>
      <w:r w:rsidDel="00000000" w:rsidR="00000000" w:rsidRPr="00000000">
        <w:rPr>
          <w:rtl w:val="0"/>
        </w:rPr>
      </w:r>
    </w:p>
    <w:p w:rsidR="00000000" w:rsidDel="00000000" w:rsidP="00000000" w:rsidRDefault="00000000" w:rsidRPr="00000000" w14:paraId="00000154">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Fourteenth Finance Commission (FFC) – Implications for Fiscal Federalism in India?, accessed February 17, 2026, </w:t>
      </w:r>
      <w:hyperlink r:id="rId87">
        <w:r w:rsidDel="00000000" w:rsidR="00000000" w:rsidRPr="00000000">
          <w:rPr>
            <w:rFonts w:ascii="Google Sans" w:cs="Google Sans" w:eastAsia="Google Sans" w:hAnsi="Google Sans"/>
            <w:color w:val="0000ee"/>
            <w:sz w:val="24"/>
            <w:szCs w:val="24"/>
            <w:u w:val="single"/>
            <w:rtl w:val="0"/>
          </w:rPr>
          <w:t xml:space="preserve">https://www.indiabudget.gov.in/budget2015-2016/es2014-15/echapvol1-10.pdf</w:t>
        </w:r>
      </w:hyperlink>
      <w:r w:rsidDel="00000000" w:rsidR="00000000" w:rsidRPr="00000000">
        <w:rPr>
          <w:rtl w:val="0"/>
        </w:rPr>
      </w:r>
    </w:p>
    <w:p w:rsidR="00000000" w:rsidDel="00000000" w:rsidP="00000000" w:rsidRDefault="00000000" w:rsidRPr="00000000" w14:paraId="00000155">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Towards India's New Fiscal Federalism - NIPFP, accessed February 17, 2026, </w:t>
      </w:r>
      <w:hyperlink r:id="rId88">
        <w:r w:rsidDel="00000000" w:rsidR="00000000" w:rsidRPr="00000000">
          <w:rPr>
            <w:rFonts w:ascii="Google Sans" w:cs="Google Sans" w:eastAsia="Google Sans" w:hAnsi="Google Sans"/>
            <w:color w:val="0000ee"/>
            <w:sz w:val="24"/>
            <w:szCs w:val="24"/>
            <w:u w:val="single"/>
            <w:rtl w:val="0"/>
          </w:rPr>
          <w:t xml:space="preserve">https://nipfp.org.in/media/medialibrary/2019/01/WP_252_2019.pdf</w:t>
        </w:r>
      </w:hyperlink>
      <w:r w:rsidDel="00000000" w:rsidR="00000000" w:rsidRPr="00000000">
        <w:rPr>
          <w:rtl w:val="0"/>
        </w:rPr>
      </w:r>
    </w:p>
    <w:p w:rsidR="00000000" w:rsidDel="00000000" w:rsidP="00000000" w:rsidRDefault="00000000" w:rsidRPr="00000000" w14:paraId="00000156">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Finance Commission, India, accessed February 17, 2026, </w:t>
      </w:r>
      <w:hyperlink r:id="rId89">
        <w:r w:rsidDel="00000000" w:rsidR="00000000" w:rsidRPr="00000000">
          <w:rPr>
            <w:rFonts w:ascii="Google Sans" w:cs="Google Sans" w:eastAsia="Google Sans" w:hAnsi="Google Sans"/>
            <w:color w:val="0000ee"/>
            <w:sz w:val="24"/>
            <w:szCs w:val="24"/>
            <w:u w:val="single"/>
            <w:rtl w:val="0"/>
          </w:rPr>
          <w:t xml:space="preserve">https://fincomindia.nic.in/</w:t>
        </w:r>
      </w:hyperlink>
      <w:r w:rsidDel="00000000" w:rsidR="00000000" w:rsidRPr="00000000">
        <w:rPr>
          <w:rtl w:val="0"/>
        </w:rPr>
      </w:r>
    </w:p>
    <w:p w:rsidR="00000000" w:rsidDel="00000000" w:rsidP="00000000" w:rsidRDefault="00000000" w:rsidRPr="00000000" w14:paraId="0000015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Report of the Sixteenth Finance Commission Volume 1 - India Budget, accessed February 17, 2026, </w:t>
      </w:r>
      <w:hyperlink r:id="rId90">
        <w:r w:rsidDel="00000000" w:rsidR="00000000" w:rsidRPr="00000000">
          <w:rPr>
            <w:rFonts w:ascii="Google Sans" w:cs="Google Sans" w:eastAsia="Google Sans" w:hAnsi="Google Sans"/>
            <w:color w:val="0000ee"/>
            <w:sz w:val="24"/>
            <w:szCs w:val="24"/>
            <w:u w:val="single"/>
            <w:rtl w:val="0"/>
          </w:rPr>
          <w:t xml:space="preserve">https://www.indiabudget.gov.in/doc/16fcvol1.pdf</w:t>
        </w:r>
      </w:hyperlink>
      <w:r w:rsidDel="00000000" w:rsidR="00000000" w:rsidRPr="00000000">
        <w:rPr>
          <w:rtl w:val="0"/>
        </w:rPr>
      </w:r>
    </w:p>
    <w:p w:rsidR="00000000" w:rsidDel="00000000" w:rsidP="00000000" w:rsidRDefault="00000000" w:rsidRPr="00000000" w14:paraId="00000158">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16th Finance Commission: Impact, Measures &amp; Key Concerns - PMF IAS, accessed February 17, 2026, </w:t>
      </w:r>
      <w:hyperlink r:id="rId91">
        <w:r w:rsidDel="00000000" w:rsidR="00000000" w:rsidRPr="00000000">
          <w:rPr>
            <w:rFonts w:ascii="Google Sans" w:cs="Google Sans" w:eastAsia="Google Sans" w:hAnsi="Google Sans"/>
            <w:color w:val="0000ee"/>
            <w:sz w:val="24"/>
            <w:szCs w:val="24"/>
            <w:u w:val="single"/>
            <w:rtl w:val="0"/>
          </w:rPr>
          <w:t xml:space="preserve">https://www.pmfias.com/16th-finance-commission/</w:t>
        </w:r>
      </w:hyperlink>
      <w:r w:rsidDel="00000000" w:rsidR="00000000" w:rsidRPr="00000000">
        <w:rPr>
          <w:rtl w:val="0"/>
        </w:rPr>
      </w:r>
    </w:p>
    <w:p w:rsidR="00000000" w:rsidDel="00000000" w:rsidP="00000000" w:rsidRDefault="00000000" w:rsidRPr="00000000" w14:paraId="0000015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Explanatory Memorandum as to the Action Taken on the Recommendations Made by the Sixteenth Finance Commission - India Budget, accessed February 17, 2026, </w:t>
      </w:r>
      <w:hyperlink r:id="rId92">
        <w:r w:rsidDel="00000000" w:rsidR="00000000" w:rsidRPr="00000000">
          <w:rPr>
            <w:rFonts w:ascii="Google Sans" w:cs="Google Sans" w:eastAsia="Google Sans" w:hAnsi="Google Sans"/>
            <w:color w:val="0000ee"/>
            <w:sz w:val="24"/>
            <w:szCs w:val="24"/>
            <w:u w:val="single"/>
            <w:rtl w:val="0"/>
          </w:rPr>
          <w:t xml:space="preserve">https://www.indiabudget.gov.in/doc/16fc.pdf</w:t>
        </w:r>
      </w:hyperlink>
      <w:r w:rsidDel="00000000" w:rsidR="00000000" w:rsidRPr="00000000">
        <w:rPr>
          <w:rtl w:val="0"/>
        </w:rPr>
      </w:r>
    </w:p>
    <w:p w:rsidR="00000000" w:rsidDel="00000000" w:rsidP="00000000" w:rsidRDefault="00000000" w:rsidRPr="00000000" w14:paraId="0000015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REPORT FOR THE YEAR 2020-21 - Finance Commission, accessed February 17, 2026, </w:t>
      </w:r>
      <w:hyperlink r:id="rId93">
        <w:r w:rsidDel="00000000" w:rsidR="00000000" w:rsidRPr="00000000">
          <w:rPr>
            <w:rFonts w:ascii="Google Sans" w:cs="Google Sans" w:eastAsia="Google Sans" w:hAnsi="Google Sans"/>
            <w:color w:val="0000ee"/>
            <w:sz w:val="24"/>
            <w:szCs w:val="24"/>
            <w:u w:val="single"/>
            <w:rtl w:val="0"/>
          </w:rPr>
          <w:t xml:space="preserve">https://fincomindia.nic.in/asset/pdf/commission-reports/XVFC_202021%20Report_English_Web.pdf</w:t>
        </w:r>
      </w:hyperlink>
      <w:r w:rsidDel="00000000" w:rsidR="00000000" w:rsidRPr="00000000">
        <w:rPr>
          <w:rtl w:val="0"/>
        </w:rPr>
      </w:r>
    </w:p>
    <w:p w:rsidR="00000000" w:rsidDel="00000000" w:rsidP="00000000" w:rsidRDefault="00000000" w:rsidRPr="00000000" w14:paraId="0000015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16th Finance Commission Report - Drishti IAS, accessed February 17, 2026, </w:t>
      </w:r>
      <w:hyperlink r:id="rId94">
        <w:r w:rsidDel="00000000" w:rsidR="00000000" w:rsidRPr="00000000">
          <w:rPr>
            <w:rFonts w:ascii="Google Sans" w:cs="Google Sans" w:eastAsia="Google Sans" w:hAnsi="Google Sans"/>
            <w:color w:val="0000ee"/>
            <w:sz w:val="24"/>
            <w:szCs w:val="24"/>
            <w:u w:val="single"/>
            <w:rtl w:val="0"/>
          </w:rPr>
          <w:t xml:space="preserve">https://www.drishtiias.com/daily-updates/daily-news-analysis/16th-finance-commission-report</w:t>
        </w:r>
      </w:hyperlink>
      <w:r w:rsidDel="00000000" w:rsidR="00000000" w:rsidRPr="00000000">
        <w:rPr>
          <w:rtl w:val="0"/>
        </w:rPr>
      </w:r>
    </w:p>
    <w:p w:rsidR="00000000" w:rsidDel="00000000" w:rsidP="00000000" w:rsidRDefault="00000000" w:rsidRPr="00000000" w14:paraId="0000015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16th Finance Commission (2026–31): Rewriting India's Fiscal Federalism - Vaids ICS, accessed February 17, 2026, </w:t>
      </w:r>
      <w:hyperlink r:id="rId95">
        <w:r w:rsidDel="00000000" w:rsidR="00000000" w:rsidRPr="00000000">
          <w:rPr>
            <w:rFonts w:ascii="Google Sans" w:cs="Google Sans" w:eastAsia="Google Sans" w:hAnsi="Google Sans"/>
            <w:color w:val="0000ee"/>
            <w:sz w:val="24"/>
            <w:szCs w:val="24"/>
            <w:u w:val="single"/>
            <w:rtl w:val="0"/>
          </w:rPr>
          <w:t xml:space="preserve">https://vaidsics.com/blog/the-16th-finance-commission-202631-rewriting-indias-fiscal-federalism</w:t>
        </w:r>
      </w:hyperlink>
      <w:r w:rsidDel="00000000" w:rsidR="00000000" w:rsidRPr="00000000">
        <w:rPr>
          <w:rtl w:val="0"/>
        </w:rPr>
      </w:r>
    </w:p>
    <w:p w:rsidR="00000000" w:rsidDel="00000000" w:rsidP="00000000" w:rsidRDefault="00000000" w:rsidRPr="00000000" w14:paraId="0000015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Report Summary : 16th Finance Commission for 2026-31, accessed February 17, 2026, </w:t>
      </w:r>
      <w:hyperlink r:id="rId96">
        <w:r w:rsidDel="00000000" w:rsidR="00000000" w:rsidRPr="00000000">
          <w:rPr>
            <w:rFonts w:ascii="Google Sans" w:cs="Google Sans" w:eastAsia="Google Sans" w:hAnsi="Google Sans"/>
            <w:color w:val="0000ee"/>
            <w:sz w:val="24"/>
            <w:szCs w:val="24"/>
            <w:u w:val="single"/>
            <w:rtl w:val="0"/>
          </w:rPr>
          <w:t xml:space="preserve">https://prsindia.org/files/policy/policy_committee_reports/16th_FC_Report_Summary.pdf</w:t>
        </w:r>
      </w:hyperlink>
      <w:r w:rsidDel="00000000" w:rsidR="00000000" w:rsidRPr="00000000">
        <w:rPr>
          <w:rtl w:val="0"/>
        </w:rPr>
      </w:r>
    </w:p>
    <w:p w:rsidR="00000000" w:rsidDel="00000000" w:rsidP="00000000" w:rsidRDefault="00000000" w:rsidRPr="00000000" w14:paraId="0000015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16th Finance Commission: Are federal transfers moving from support to performance?, accessed February 17, 2026, </w:t>
      </w:r>
      <w:hyperlink r:id="rId97">
        <w:r w:rsidDel="00000000" w:rsidR="00000000" w:rsidRPr="00000000">
          <w:rPr>
            <w:rFonts w:ascii="Google Sans" w:cs="Google Sans" w:eastAsia="Google Sans" w:hAnsi="Google Sans"/>
            <w:color w:val="0000ee"/>
            <w:sz w:val="24"/>
            <w:szCs w:val="24"/>
            <w:u w:val="single"/>
            <w:rtl w:val="0"/>
          </w:rPr>
          <w:t xml:space="preserve">https://timesofindia.indiatimes.com/business/india-business/16th-finance-commission-are-federal-transfers-moving-from-support-to-performance/articleshow/128345090.cms</w:t>
        </w:r>
      </w:hyperlink>
      <w:r w:rsidDel="00000000" w:rsidR="00000000" w:rsidRPr="00000000">
        <w:rPr>
          <w:rtl w:val="0"/>
        </w:rPr>
      </w:r>
    </w:p>
    <w:p w:rsidR="00000000" w:rsidDel="00000000" w:rsidP="00000000" w:rsidRDefault="00000000" w:rsidRPr="00000000" w14:paraId="0000015F">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3: Trade Agreements and Economic Theory | Wilson Center, accessed February 17, 2026, </w:t>
      </w:r>
      <w:hyperlink r:id="rId98">
        <w:r w:rsidDel="00000000" w:rsidR="00000000" w:rsidRPr="00000000">
          <w:rPr>
            <w:rFonts w:ascii="Google Sans" w:cs="Google Sans" w:eastAsia="Google Sans" w:hAnsi="Google Sans"/>
            <w:color w:val="0000ee"/>
            <w:sz w:val="24"/>
            <w:szCs w:val="24"/>
            <w:u w:val="single"/>
            <w:rtl w:val="0"/>
          </w:rPr>
          <w:t xml:space="preserve">https://www.wilsoncenter.org/chapter-3-trade-agreements-and-economic-theory</w:t>
        </w:r>
      </w:hyperlink>
      <w:r w:rsidDel="00000000" w:rsidR="00000000" w:rsidRPr="00000000">
        <w:rPr>
          <w:rtl w:val="0"/>
        </w:rPr>
      </w:r>
    </w:p>
    <w:p w:rsidR="00000000" w:rsidDel="00000000" w:rsidP="00000000" w:rsidRDefault="00000000" w:rsidRPr="00000000" w14:paraId="00000160">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THEORIES OF INTERNATIONAL TRADE: EMERGING KNOWLEDGE - Scholar's Digest, accessed February 17, 2026, </w:t>
      </w:r>
      <w:hyperlink r:id="rId99">
        <w:r w:rsidDel="00000000" w:rsidR="00000000" w:rsidRPr="00000000">
          <w:rPr>
            <w:rFonts w:ascii="Google Sans" w:cs="Google Sans" w:eastAsia="Google Sans" w:hAnsi="Google Sans"/>
            <w:color w:val="0000ee"/>
            <w:sz w:val="24"/>
            <w:szCs w:val="24"/>
            <w:u w:val="single"/>
            <w:rtl w:val="0"/>
          </w:rPr>
          <w:t xml:space="preserve">https://scholarsdigest.org/index.php/sdjms/article/download/1038/1025/1083</w:t>
        </w:r>
      </w:hyperlink>
      <w:r w:rsidDel="00000000" w:rsidR="00000000" w:rsidRPr="00000000">
        <w:rPr>
          <w:rtl w:val="0"/>
        </w:rPr>
      </w:r>
    </w:p>
    <w:p w:rsidR="00000000" w:rsidDel="00000000" w:rsidP="00000000" w:rsidRDefault="00000000" w:rsidRPr="00000000" w14:paraId="00000161">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2.1 What Is International Trade Theory? - Publishing Services, accessed February 17, 2026, </w:t>
      </w:r>
      <w:hyperlink r:id="rId100">
        <w:r w:rsidDel="00000000" w:rsidR="00000000" w:rsidRPr="00000000">
          <w:rPr>
            <w:rFonts w:ascii="Google Sans" w:cs="Google Sans" w:eastAsia="Google Sans" w:hAnsi="Google Sans"/>
            <w:color w:val="0000ee"/>
            <w:sz w:val="24"/>
            <w:szCs w:val="24"/>
            <w:u w:val="single"/>
            <w:rtl w:val="0"/>
          </w:rPr>
          <w:t xml:space="preserve">https://open.lib.umn.edu/internationalbusiness/chapter/2-1-what-is-international-trade-theory/</w:t>
        </w:r>
      </w:hyperlink>
      <w:r w:rsidDel="00000000" w:rsidR="00000000" w:rsidRPr="00000000">
        <w:rPr>
          <w:rtl w:val="0"/>
        </w:rPr>
      </w:r>
    </w:p>
    <w:p w:rsidR="00000000" w:rsidDel="00000000" w:rsidP="00000000" w:rsidRDefault="00000000" w:rsidRPr="00000000" w14:paraId="00000162">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International Economics - II. Trade Theory: Smith and Ricardo, accessed February 17, 2026, </w:t>
      </w:r>
      <w:hyperlink r:id="rId101">
        <w:r w:rsidDel="00000000" w:rsidR="00000000" w:rsidRPr="00000000">
          <w:rPr>
            <w:rFonts w:ascii="Google Sans" w:cs="Google Sans" w:eastAsia="Google Sans" w:hAnsi="Google Sans"/>
            <w:color w:val="0000ee"/>
            <w:sz w:val="24"/>
            <w:szCs w:val="24"/>
            <w:u w:val="single"/>
            <w:rtl w:val="0"/>
          </w:rPr>
          <w:t xml:space="preserve">https://www.wifa.uni-leipzig.de/fileadmin/Fakult%C3%A4t_Wifa/Institut_f%C3%BCr_Wirtschaftspolitik/Studium/Sommer/25/International_Economics/2._Trade_Theory_-_Smith_and_Ricardo.pdf</w:t>
        </w:r>
      </w:hyperlink>
      <w:r w:rsidDel="00000000" w:rsidR="00000000" w:rsidRPr="00000000">
        <w:rPr>
          <w:rtl w:val="0"/>
        </w:rPr>
      </w:r>
    </w:p>
    <w:p w:rsidR="00000000" w:rsidDel="00000000" w:rsidP="00000000" w:rsidRDefault="00000000" w:rsidRPr="00000000" w14:paraId="0000016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Theories of international trade: from Old Trade Theory to New-New Trade Theory, accessed February 17, 2026, </w:t>
      </w:r>
      <w:hyperlink r:id="rId102">
        <w:r w:rsidDel="00000000" w:rsidR="00000000" w:rsidRPr="00000000">
          <w:rPr>
            <w:rFonts w:ascii="Google Sans" w:cs="Google Sans" w:eastAsia="Google Sans" w:hAnsi="Google Sans"/>
            <w:color w:val="0000ee"/>
            <w:sz w:val="24"/>
            <w:szCs w:val="24"/>
            <w:u w:val="single"/>
            <w:rtl w:val="0"/>
          </w:rPr>
          <w:t xml:space="preserve">https://www.exportplanning.com/en/magazine/article/2024/09/04/theories-of-international-trade-from-old-trade-theory-to-new-new-trade-theory/</w:t>
        </w:r>
      </w:hyperlink>
      <w:r w:rsidDel="00000000" w:rsidR="00000000" w:rsidRPr="00000000">
        <w:rPr>
          <w:rtl w:val="0"/>
        </w:rPr>
      </w:r>
    </w:p>
    <w:p w:rsidR="00000000" w:rsidDel="00000000" w:rsidP="00000000" w:rsidRDefault="00000000" w:rsidRPr="00000000" w14:paraId="00000164">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Theories of International Trade: Key Difference Between Classical vs Modern Theories - Testbook, accessed February 17, 2026, </w:t>
      </w:r>
      <w:hyperlink r:id="rId103">
        <w:r w:rsidDel="00000000" w:rsidR="00000000" w:rsidRPr="00000000">
          <w:rPr>
            <w:rFonts w:ascii="Google Sans" w:cs="Google Sans" w:eastAsia="Google Sans" w:hAnsi="Google Sans"/>
            <w:color w:val="0000ee"/>
            <w:sz w:val="24"/>
            <w:szCs w:val="24"/>
            <w:u w:val="single"/>
            <w:rtl w:val="0"/>
          </w:rPr>
          <w:t xml:space="preserve">https://testbook.com/ugc-net-commerce/theories-of-international-trade</w:t>
        </w:r>
      </w:hyperlink>
      <w:r w:rsidDel="00000000" w:rsidR="00000000" w:rsidRPr="00000000">
        <w:rPr>
          <w:rtl w:val="0"/>
        </w:rPr>
      </w:r>
    </w:p>
    <w:p w:rsidR="00000000" w:rsidDel="00000000" w:rsidP="00000000" w:rsidRDefault="00000000" w:rsidRPr="00000000" w14:paraId="00000165">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New trade theory - Wikipedia, accessed February 17, 2026, </w:t>
      </w:r>
      <w:hyperlink r:id="rId104">
        <w:r w:rsidDel="00000000" w:rsidR="00000000" w:rsidRPr="00000000">
          <w:rPr>
            <w:rFonts w:ascii="Google Sans" w:cs="Google Sans" w:eastAsia="Google Sans" w:hAnsi="Google Sans"/>
            <w:color w:val="0000ee"/>
            <w:sz w:val="24"/>
            <w:szCs w:val="24"/>
            <w:u w:val="single"/>
            <w:rtl w:val="0"/>
          </w:rPr>
          <w:t xml:space="preserve">https://en.wikipedia.org/wiki/New_trade_theory</w:t>
        </w:r>
      </w:hyperlink>
      <w:r w:rsidDel="00000000" w:rsidR="00000000" w:rsidRPr="00000000">
        <w:rPr>
          <w:rtl w:val="0"/>
        </w:rPr>
      </w:r>
    </w:p>
    <w:p w:rsidR="00000000" w:rsidDel="00000000" w:rsidP="00000000" w:rsidRDefault="00000000" w:rsidRPr="00000000" w14:paraId="00000166">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 Drishti IAS, accessed February 17, 2026, </w:t>
      </w:r>
      <w:hyperlink r:id="rId105">
        <w:r w:rsidDel="00000000" w:rsidR="00000000" w:rsidRPr="00000000">
          <w:rPr>
            <w:rFonts w:ascii="Google Sans" w:cs="Google Sans" w:eastAsia="Google Sans" w:hAnsi="Google Sans"/>
            <w:color w:val="0000ee"/>
            <w:sz w:val="24"/>
            <w:szCs w:val="24"/>
            <w:u w:val="single"/>
            <w:rtl w:val="0"/>
          </w:rPr>
          <w:t xml:space="preserve">https://www.drishtiias.com/daily-updates/daily-news-analysis/economic-survey-2025-26</w:t>
        </w:r>
      </w:hyperlink>
      <w:r w:rsidDel="00000000" w:rsidR="00000000" w:rsidRPr="00000000">
        <w:rPr>
          <w:rtl w:val="0"/>
        </w:rPr>
      </w:r>
    </w:p>
    <w:p w:rsidR="00000000" w:rsidDel="00000000" w:rsidP="00000000" w:rsidRDefault="00000000" w:rsidRPr="00000000" w14:paraId="0000016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Analysis and Key Findings - IBEF.org, accessed February 17, 2026, </w:t>
      </w:r>
      <w:hyperlink r:id="rId106">
        <w:r w:rsidDel="00000000" w:rsidR="00000000" w:rsidRPr="00000000">
          <w:rPr>
            <w:rFonts w:ascii="Google Sans" w:cs="Google Sans" w:eastAsia="Google Sans" w:hAnsi="Google Sans"/>
            <w:color w:val="0000ee"/>
            <w:sz w:val="24"/>
            <w:szCs w:val="24"/>
            <w:u w:val="single"/>
            <w:rtl w:val="0"/>
          </w:rPr>
          <w:t xml:space="preserve">https://www.ibef.org/economy/economic-survey-2025-26</w:t>
        </w:r>
      </w:hyperlink>
      <w:r w:rsidDel="00000000" w:rsidR="00000000" w:rsidRPr="00000000">
        <w:rPr>
          <w:rtl w:val="0"/>
        </w:rPr>
      </w:r>
    </w:p>
    <w:p w:rsidR="00000000" w:rsidDel="00000000" w:rsidP="00000000" w:rsidRDefault="00000000" w:rsidRPr="00000000" w14:paraId="00000168">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economic survey 2025-26 - PIB, accessed February 17, 2026, </w:t>
      </w:r>
      <w:hyperlink r:id="rId107">
        <w:r w:rsidDel="00000000" w:rsidR="00000000" w:rsidRPr="00000000">
          <w:rPr>
            <w:rFonts w:ascii="Google Sans" w:cs="Google Sans" w:eastAsia="Google Sans" w:hAnsi="Google Sans"/>
            <w:color w:val="0000ee"/>
            <w:sz w:val="24"/>
            <w:szCs w:val="24"/>
            <w:u w:val="single"/>
            <w:rtl w:val="0"/>
          </w:rPr>
          <w:t xml:space="preserve">https://www.pib.gov.in/PressReleasePage.aspx?PRID=2219907®=3&amp;lang=1</w:t>
        </w:r>
      </w:hyperlink>
      <w:r w:rsidDel="00000000" w:rsidR="00000000" w:rsidRPr="00000000">
        <w:rPr>
          <w:rtl w:val="0"/>
        </w:rPr>
      </w:r>
    </w:p>
    <w:p w:rsidR="00000000" w:rsidDel="00000000" w:rsidP="00000000" w:rsidRDefault="00000000" w:rsidRPr="00000000" w14:paraId="0000016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India transi ons towards a high-growth and resilient economy - PIB, accessed February 17, 2026, </w:t>
      </w:r>
      <w:hyperlink r:id="rId108">
        <w:r w:rsidDel="00000000" w:rsidR="00000000" w:rsidRPr="00000000">
          <w:rPr>
            <w:rFonts w:ascii="Google Sans" w:cs="Google Sans" w:eastAsia="Google Sans" w:hAnsi="Google Sans"/>
            <w:color w:val="0000ee"/>
            <w:sz w:val="24"/>
            <w:szCs w:val="24"/>
            <w:u w:val="single"/>
            <w:rtl w:val="0"/>
          </w:rPr>
          <w:t xml:space="preserve">https://static.pib.gov.in/WriteReadData/specificdocs/documents/2026/jan/doc2026130774501.pdf</w:t>
        </w:r>
      </w:hyperlink>
      <w:r w:rsidDel="00000000" w:rsidR="00000000" w:rsidRPr="00000000">
        <w:rPr>
          <w:rtl w:val="0"/>
        </w:rPr>
      </w:r>
    </w:p>
    <w:p w:rsidR="00000000" w:rsidDel="00000000" w:rsidP="00000000" w:rsidRDefault="00000000" w:rsidRPr="00000000" w14:paraId="0000016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Important Committees20250415 180553 | PDF | Reserve Bank Of India - Scribd, accessed February 17, 2026, </w:t>
      </w:r>
      <w:hyperlink r:id="rId109">
        <w:r w:rsidDel="00000000" w:rsidR="00000000" w:rsidRPr="00000000">
          <w:rPr>
            <w:rFonts w:ascii="Google Sans" w:cs="Google Sans" w:eastAsia="Google Sans" w:hAnsi="Google Sans"/>
            <w:color w:val="0000ee"/>
            <w:sz w:val="24"/>
            <w:szCs w:val="24"/>
            <w:u w:val="single"/>
            <w:rtl w:val="0"/>
          </w:rPr>
          <w:t xml:space="preserve">https://www.scribd.com/document/855377441/List-of-Important-Committees20250415-180553</w:t>
        </w:r>
      </w:hyperlink>
      <w:r w:rsidDel="00000000" w:rsidR="00000000" w:rsidRPr="00000000">
        <w:rPr>
          <w:rtl w:val="0"/>
        </w:rPr>
      </w:r>
    </w:p>
    <w:p w:rsidR="00000000" w:rsidDel="00000000" w:rsidP="00000000" w:rsidRDefault="00000000" w:rsidRPr="00000000" w14:paraId="0000016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Committees On Banking | PDF | Banks | Economic Institutions - Scribd, accessed February 17, 2026, </w:t>
      </w:r>
      <w:hyperlink r:id="rId110">
        <w:r w:rsidDel="00000000" w:rsidR="00000000" w:rsidRPr="00000000">
          <w:rPr>
            <w:rFonts w:ascii="Google Sans" w:cs="Google Sans" w:eastAsia="Google Sans" w:hAnsi="Google Sans"/>
            <w:color w:val="0000ee"/>
            <w:sz w:val="24"/>
            <w:szCs w:val="24"/>
            <w:u w:val="single"/>
            <w:rtl w:val="0"/>
          </w:rPr>
          <w:t xml:space="preserve">https://www.scribd.com/document/231375315/Committees-on-Banking</w:t>
        </w:r>
      </w:hyperlink>
      <w:r w:rsidDel="00000000" w:rsidR="00000000" w:rsidRPr="00000000">
        <w:rPr>
          <w:rtl w:val="0"/>
        </w:rPr>
      </w:r>
    </w:p>
    <w:p w:rsidR="00000000" w:rsidDel="00000000" w:rsidP="00000000" w:rsidRDefault="00000000" w:rsidRPr="00000000" w14:paraId="0000016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Committees | PDF | Private Sector | Financial Services - Scribd, accessed February 17, 2026, </w:t>
      </w:r>
      <w:hyperlink r:id="rId111">
        <w:r w:rsidDel="00000000" w:rsidR="00000000" w:rsidRPr="00000000">
          <w:rPr>
            <w:rFonts w:ascii="Google Sans" w:cs="Google Sans" w:eastAsia="Google Sans" w:hAnsi="Google Sans"/>
            <w:color w:val="0000ee"/>
            <w:sz w:val="24"/>
            <w:szCs w:val="24"/>
            <w:u w:val="single"/>
            <w:rtl w:val="0"/>
          </w:rPr>
          <w:t xml:space="preserve">https://www.scribd.com/document/792916187/Economic-Committees</w:t>
        </w:r>
      </w:hyperlink>
      <w:r w:rsidDel="00000000" w:rsidR="00000000" w:rsidRPr="00000000">
        <w:rPr>
          <w:rtl w:val="0"/>
        </w:rPr>
      </w:r>
    </w:p>
    <w:p w:rsidR="00000000" w:rsidDel="00000000" w:rsidP="00000000" w:rsidRDefault="00000000" w:rsidRPr="00000000" w14:paraId="0000016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important economic committees and their mandate - IAS Gyan, accessed February 17, 2026, </w:t>
      </w:r>
      <w:hyperlink r:id="rId112">
        <w:r w:rsidDel="00000000" w:rsidR="00000000" w:rsidRPr="00000000">
          <w:rPr>
            <w:rFonts w:ascii="Google Sans" w:cs="Google Sans" w:eastAsia="Google Sans" w:hAnsi="Google Sans"/>
            <w:color w:val="0000ee"/>
            <w:sz w:val="24"/>
            <w:szCs w:val="24"/>
            <w:u w:val="single"/>
            <w:rtl w:val="0"/>
          </w:rPr>
          <w:t xml:space="preserve">https://www.iasgyan.in/blogs/important-economic-committees-and-their-mandate</w:t>
        </w:r>
      </w:hyperlink>
      <w:r w:rsidDel="00000000" w:rsidR="00000000" w:rsidRPr="00000000">
        <w:rPr>
          <w:rtl w:val="0"/>
        </w:rPr>
      </w:r>
    </w:p>
    <w:p w:rsidR="00000000" w:rsidDel="00000000" w:rsidP="00000000" w:rsidRDefault="00000000" w:rsidRPr="00000000" w14:paraId="0000016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Important Committees and Commissions in India - UPSC Notes - Testbook, accessed February 17, 2026, </w:t>
      </w:r>
      <w:hyperlink r:id="rId113">
        <w:r w:rsidDel="00000000" w:rsidR="00000000" w:rsidRPr="00000000">
          <w:rPr>
            <w:rFonts w:ascii="Google Sans" w:cs="Google Sans" w:eastAsia="Google Sans" w:hAnsi="Google Sans"/>
            <w:color w:val="0000ee"/>
            <w:sz w:val="24"/>
            <w:szCs w:val="24"/>
            <w:u w:val="single"/>
            <w:rtl w:val="0"/>
          </w:rPr>
          <w:t xml:space="preserve">https://testbook.com/ias-preparation/list-of-indian-government-commissions</w:t>
        </w:r>
      </w:hyperlink>
      <w:r w:rsidDel="00000000" w:rsidR="00000000" w:rsidRPr="00000000">
        <w:rPr>
          <w:rtl w:val="0"/>
        </w:rPr>
      </w:r>
    </w:p>
    <w:p w:rsidR="00000000" w:rsidDel="00000000" w:rsidP="00000000" w:rsidRDefault="00000000" w:rsidRPr="00000000" w14:paraId="0000016F">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Major Committees on Poverty - UPSC Economy Notes - Edukemy, accessed February 17, 2026, </w:t>
      </w:r>
      <w:hyperlink r:id="rId114">
        <w:r w:rsidDel="00000000" w:rsidR="00000000" w:rsidRPr="00000000">
          <w:rPr>
            <w:rFonts w:ascii="Google Sans" w:cs="Google Sans" w:eastAsia="Google Sans" w:hAnsi="Google Sans"/>
            <w:color w:val="0000ee"/>
            <w:sz w:val="24"/>
            <w:szCs w:val="24"/>
            <w:u w:val="single"/>
            <w:rtl w:val="0"/>
          </w:rPr>
          <w:t xml:space="preserve">https://edukemy.com/blog/major-committees-on-poverty-upsc-economy-notes/</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books.openedition.org/editionsmsh/7542" TargetMode="External"/><Relationship Id="rId42" Type="http://schemas.openxmlformats.org/officeDocument/2006/relationships/hyperlink" Target="https://urbanstudies.institute/development-issues-and-perspectives/agricultural-development-india-land-reforms-rainbow-revolution/" TargetMode="External"/><Relationship Id="rId41" Type="http://schemas.openxmlformats.org/officeDocument/2006/relationships/hyperlink" Target="https://padhai.ai/economy/green-revolution-in-india" TargetMode="External"/><Relationship Id="rId44" Type="http://schemas.openxmlformats.org/officeDocument/2006/relationships/hyperlink" Target="https://www.niti.gov.in/sites/default/files/2023-07/Aggricultrue_Amritkal.pdf" TargetMode="External"/><Relationship Id="rId43" Type="http://schemas.openxmlformats.org/officeDocument/2006/relationships/hyperlink" Target="https://testbook.com/ias-preparation/industrial-policy-of-india" TargetMode="External"/><Relationship Id="rId46" Type="http://schemas.openxmlformats.org/officeDocument/2006/relationships/hyperlink" Target="https://www.salamkisan.com/news/story-of-indian-agriculture-a-saga-of-growth-and-resilience-through-the-ages" TargetMode="External"/><Relationship Id="rId45" Type="http://schemas.openxmlformats.org/officeDocument/2006/relationships/hyperlink" Target="https://ipg.vt.edu/DirectorsCorner/re--reflections-and-explorations/Reflections101520.html" TargetMode="External"/><Relationship Id="rId107" Type="http://schemas.openxmlformats.org/officeDocument/2006/relationships/hyperlink" Target="https://www.pib.gov.in/PressReleasePage.aspx?PRID=2219907&amp;reg=3&amp;lang=1" TargetMode="External"/><Relationship Id="rId106" Type="http://schemas.openxmlformats.org/officeDocument/2006/relationships/hyperlink" Target="https://www.ibef.org/economy/economic-survey-2025-26" TargetMode="External"/><Relationship Id="rId105" Type="http://schemas.openxmlformats.org/officeDocument/2006/relationships/hyperlink" Target="https://www.drishtiias.com/daily-updates/daily-news-analysis/economic-survey-2025-26" TargetMode="External"/><Relationship Id="rId104" Type="http://schemas.openxmlformats.org/officeDocument/2006/relationships/hyperlink" Target="https://en.wikipedia.org/wiki/New_trade_theory" TargetMode="External"/><Relationship Id="rId109" Type="http://schemas.openxmlformats.org/officeDocument/2006/relationships/hyperlink" Target="https://www.scribd.com/document/855377441/List-of-Important-Committees20250415-180553" TargetMode="External"/><Relationship Id="rId108" Type="http://schemas.openxmlformats.org/officeDocument/2006/relationships/hyperlink" Target="https://static.pib.gov.in/WriteReadData/specificdocs/documents/2026/jan/doc2026130774501.pdf" TargetMode="External"/><Relationship Id="rId48" Type="http://schemas.openxmlformats.org/officeDocument/2006/relationships/hyperlink" Target="https://digitalcommons.kennesaw.edu/cgi/viewcontent.cgi?article=1007&amp;context=jekem" TargetMode="External"/><Relationship Id="rId47" Type="http://schemas.openxmlformats.org/officeDocument/2006/relationships/hyperlink" Target="https://en.wikipedia.org/wiki/Green_Revolution" TargetMode="External"/><Relationship Id="rId49" Type="http://schemas.openxmlformats.org/officeDocument/2006/relationships/hyperlink" Target="https://agriculture.institute/agribusiness-mgt-policies/history-evolution-agricultural-policies-india/" TargetMode="External"/><Relationship Id="rId103" Type="http://schemas.openxmlformats.org/officeDocument/2006/relationships/hyperlink" Target="https://testbook.com/ugc-net-commerce/theories-of-international-trade" TargetMode="External"/><Relationship Id="rId102" Type="http://schemas.openxmlformats.org/officeDocument/2006/relationships/hyperlink" Target="https://www.exportplanning.com/en/magazine/article/2024/09/04/theories-of-international-trade-from-old-trade-theory-to-new-new-trade-theory/" TargetMode="External"/><Relationship Id="rId101" Type="http://schemas.openxmlformats.org/officeDocument/2006/relationships/hyperlink" Target="https://www.wifa.uni-leipzig.de/fileadmin/Fakult%C3%A4t_Wifa/Institut_f%C3%BCr_Wirtschaftspolitik/Studium/Sommer/25/International_Economics/2._Trade_Theory_-_Smith_and_Ricardo.pdf" TargetMode="External"/><Relationship Id="rId100" Type="http://schemas.openxmlformats.org/officeDocument/2006/relationships/hyperlink" Target="https://open.lib.umn.edu/internationalbusiness/chapter/2-1-what-is-international-trade-theory/" TargetMode="External"/><Relationship Id="rId31" Type="http://schemas.openxmlformats.org/officeDocument/2006/relationships/hyperlink" Target="https://mpra.ub.uni-muenchen.de/62260/1/MPRA_paper_62260.pdf" TargetMode="External"/><Relationship Id="rId30" Type="http://schemas.openxmlformats.org/officeDocument/2006/relationships/hyperlink" Target="https://ideas.repec.org/a/eme/srjpps/v5y2009i1p112-122.html" TargetMode="External"/><Relationship Id="rId33" Type="http://schemas.openxmlformats.org/officeDocument/2006/relationships/hyperlink" Target="https://www.studyiq.com/articles/indias-achievements-after-79-years-of-independence/" TargetMode="External"/><Relationship Id="rId32" Type="http://schemas.openxmlformats.org/officeDocument/2006/relationships/hyperlink" Target="https://dash.harvard.edu/bitstreams/810ff41f-1459-43e1-baa6-e2c0cfe3e1e8/download" TargetMode="External"/><Relationship Id="rId35" Type="http://schemas.openxmlformats.org/officeDocument/2006/relationships/hyperlink" Target="https://www.theindianpanorama.news/independence-day/indian-economy-since-1947-a-look-at-key-milestones/" TargetMode="External"/><Relationship Id="rId34" Type="http://schemas.openxmlformats.org/officeDocument/2006/relationships/hyperlink" Target="https://vajiramandravi.com/current-affairs/five-year-plan-in-india/" TargetMode="External"/><Relationship Id="rId37" Type="http://schemas.openxmlformats.org/officeDocument/2006/relationships/hyperlink" Target="https://www.mospi.gov.in/sites/default/files/Statistical_year_book_india_chapters/ch7.pdf" TargetMode="External"/><Relationship Id="rId36" Type="http://schemas.openxmlformats.org/officeDocument/2006/relationships/hyperlink" Target="https://en.wikipedia.org/wiki/Five-Year_Plans_of_India" TargetMode="External"/><Relationship Id="rId39" Type="http://schemas.openxmlformats.org/officeDocument/2006/relationships/hyperlink" Target="https://byjus.com/free-ias-prep/ias-preparation-economy-planning-in-india/" TargetMode="External"/><Relationship Id="rId38" Type="http://schemas.openxmlformats.org/officeDocument/2006/relationships/hyperlink" Target="https://www.drishtiias.com/to-the-points/paper3/five-year-plans" TargetMode="External"/><Relationship Id="rId20" Type="http://schemas.openxmlformats.org/officeDocument/2006/relationships/hyperlink" Target="https://www.nber.org/system/files/working_papers/w10586/w10586.pdf" TargetMode="External"/><Relationship Id="rId22" Type="http://schemas.openxmlformats.org/officeDocument/2006/relationships/hyperlink" Target="https://testbook.com/ias-preparation/drain-of-wealth-theory-upsc" TargetMode="External"/><Relationship Id="rId21" Type="http://schemas.openxmlformats.org/officeDocument/2006/relationships/hyperlink" Target="https://plutusias.com/drain-theory-in-indian-economy/" TargetMode="External"/><Relationship Id="rId24" Type="http://schemas.openxmlformats.org/officeDocument/2006/relationships/hyperlink" Target="https://hinduinfopedia.org/economy-in-british-raj-the-systematic-drain-of-indian-wealth/" TargetMode="External"/><Relationship Id="rId23" Type="http://schemas.openxmlformats.org/officeDocument/2006/relationships/hyperlink" Target="https://monthlyreview.org/articles/the-drain-of-wealth/" TargetMode="External"/><Relationship Id="rId26" Type="http://schemas.openxmlformats.org/officeDocument/2006/relationships/hyperlink" Target="https://www.cambridge.org/core/books/business-history-of-india/state-and-industrialisation-19301950/AAB7930436FC5F738C62FDD5D988ECA3" TargetMode="External"/><Relationship Id="rId25" Type="http://schemas.openxmlformats.org/officeDocument/2006/relationships/hyperlink" Target="https://www.econ.utah.edu/research/publications/2023-01.pdf" TargetMode="External"/><Relationship Id="rId28" Type="http://schemas.openxmlformats.org/officeDocument/2006/relationships/hyperlink" Target="https://law.nus.edu.sg/wp-content/uploads/2020/04/016_2015_Umakanth-Varottil.pdf" TargetMode="External"/><Relationship Id="rId27" Type="http://schemas.openxmlformats.org/officeDocument/2006/relationships/hyperlink" Target="https://ccs.in/sites/default/files/2022-10/Big%20Industries%20After%20Independence%201860-1950.pdf" TargetMode="External"/><Relationship Id="rId29" Type="http://schemas.openxmlformats.org/officeDocument/2006/relationships/hyperlink" Target="https://ia800805.us.archive.org/19/items/in.ernet.dli.2015.113006/2015.113006.The-Managing-Agency-System-In-Prospect-And-Retrospect.pdf" TargetMode="External"/><Relationship Id="rId95" Type="http://schemas.openxmlformats.org/officeDocument/2006/relationships/hyperlink" Target="https://vaidsics.com/blog/the-16th-finance-commission-202631-rewriting-indias-fiscal-federalism" TargetMode="External"/><Relationship Id="rId94" Type="http://schemas.openxmlformats.org/officeDocument/2006/relationships/hyperlink" Target="https://www.drishtiias.com/daily-updates/daily-news-analysis/16th-finance-commission-report" TargetMode="External"/><Relationship Id="rId97" Type="http://schemas.openxmlformats.org/officeDocument/2006/relationships/hyperlink" Target="https://timesofindia.indiatimes.com/business/india-business/16th-finance-commission-are-federal-transfers-moving-from-support-to-performance/articleshow/128345090.cms" TargetMode="External"/><Relationship Id="rId96" Type="http://schemas.openxmlformats.org/officeDocument/2006/relationships/hyperlink" Target="https://prsindia.org/files/policy/policy_committee_reports/16th_FC_Report_Summary.pdf" TargetMode="External"/><Relationship Id="rId11" Type="http://schemas.openxmlformats.org/officeDocument/2006/relationships/hyperlink" Target="https://poddargaurav.wordpress.com/wp-content/uploads/2019/11/economic-history-of-india.pdf" TargetMode="External"/><Relationship Id="rId99" Type="http://schemas.openxmlformats.org/officeDocument/2006/relationships/hyperlink" Target="https://scholarsdigest.org/index.php/sdjms/article/download/1038/1025/1083" TargetMode="External"/><Relationship Id="rId10" Type="http://schemas.openxmlformats.org/officeDocument/2006/relationships/hyperlink" Target="https://byjus.com/commerce/occupational-structure/" TargetMode="External"/><Relationship Id="rId98" Type="http://schemas.openxmlformats.org/officeDocument/2006/relationships/hyperlink" Target="https://www.wilsoncenter.org/chapter-3-trade-agreements-and-economic-theory" TargetMode="External"/><Relationship Id="rId13" Type="http://schemas.openxmlformats.org/officeDocument/2006/relationships/hyperlink" Target="https://selfstudyhistory.com/2015/10/15/drain-of-wealth/" TargetMode="External"/><Relationship Id="rId12" Type="http://schemas.openxmlformats.org/officeDocument/2006/relationships/hyperlink" Target="https://testbook.com/question-answer/who-estimated-the-national-income-for-the-first-ti--5b263fd249d92b0c35c5fbce" TargetMode="External"/><Relationship Id="rId91" Type="http://schemas.openxmlformats.org/officeDocument/2006/relationships/hyperlink" Target="https://www.pmfias.com/16th-finance-commission/" TargetMode="External"/><Relationship Id="rId90" Type="http://schemas.openxmlformats.org/officeDocument/2006/relationships/hyperlink" Target="https://www.indiabudget.gov.in/doc/16fcvol1.pdf" TargetMode="External"/><Relationship Id="rId93" Type="http://schemas.openxmlformats.org/officeDocument/2006/relationships/hyperlink" Target="https://fincomindia.nic.in/asset/pdf/commission-reports/XVFC_202021%20Report_English_Web.pdf" TargetMode="External"/><Relationship Id="rId92" Type="http://schemas.openxmlformats.org/officeDocument/2006/relationships/hyperlink" Target="https://www.indiabudget.gov.in/doc/16fc.pdf" TargetMode="External"/><Relationship Id="rId15" Type="http://schemas.openxmlformats.org/officeDocument/2006/relationships/hyperlink" Target="https://www.quora.com/Who-estimated-the-national-income-for-the-first-time-in-India" TargetMode="External"/><Relationship Id="rId110" Type="http://schemas.openxmlformats.org/officeDocument/2006/relationships/hyperlink" Target="https://www.scribd.com/document/231375315/Committees-on-Banking" TargetMode="External"/><Relationship Id="rId14" Type="http://schemas.openxmlformats.org/officeDocument/2006/relationships/hyperlink" Target="https://www.urbanpro.com/class-12-tuition/name-some-notable-economists-who-estimated" TargetMode="External"/><Relationship Id="rId17" Type="http://schemas.openxmlformats.org/officeDocument/2006/relationships/hyperlink" Target="https://testbook.com/question-answer/some-indian-economists-attempted-to-measure-india--5ed79d7ff60d5d15fec80a4a" TargetMode="External"/><Relationship Id="rId16" Type="http://schemas.openxmlformats.org/officeDocument/2006/relationships/hyperlink" Target="https://www.teachoo.com/16009/3649/Status-of-Indian-Economy-before-and-During-British-Rule/category/Chapter-1-IED-Indian-Economy-On-The-Eve-Of-Independence-Term-1/" TargetMode="External"/><Relationship Id="rId19" Type="http://schemas.openxmlformats.org/officeDocument/2006/relationships/hyperlink" Target="https://www.deshbandhucollege.ac.in/pdf/resources/1585676262_HS(H)-VI-lec7.pdf" TargetMode="External"/><Relationship Id="rId114" Type="http://schemas.openxmlformats.org/officeDocument/2006/relationships/hyperlink" Target="https://edukemy.com/blog/major-committees-on-poverty-upsc-economy-notes/" TargetMode="External"/><Relationship Id="rId18" Type="http://schemas.openxmlformats.org/officeDocument/2006/relationships/hyperlink" Target="https://rjhssonline.com/HTMLPaper.aspx?Journal=Research+Journal+of+Humanities+and+Social+Sciences;PID%3D2010-1-2-3" TargetMode="External"/><Relationship Id="rId113" Type="http://schemas.openxmlformats.org/officeDocument/2006/relationships/hyperlink" Target="https://testbook.com/ias-preparation/list-of-indian-government-commissions" TargetMode="External"/><Relationship Id="rId112" Type="http://schemas.openxmlformats.org/officeDocument/2006/relationships/hyperlink" Target="https://www.iasgyan.in/blogs/important-economic-committees-and-their-mandate" TargetMode="External"/><Relationship Id="rId111" Type="http://schemas.openxmlformats.org/officeDocument/2006/relationships/hyperlink" Target="https://www.scribd.com/document/792916187/Economic-Committees" TargetMode="External"/><Relationship Id="rId84" Type="http://schemas.openxmlformats.org/officeDocument/2006/relationships/hyperlink" Target="https://vajiramandravi.com/upsc-exam/fiscal-federalism/" TargetMode="External"/><Relationship Id="rId83" Type="http://schemas.openxmlformats.org/officeDocument/2006/relationships/hyperlink" Target="https://fincomindia.nic.in/asset/doc/commission-reports/12th-FC/reports/eng/Chapter%2002.pdf" TargetMode="External"/><Relationship Id="rId86" Type="http://schemas.openxmlformats.org/officeDocument/2006/relationships/hyperlink" Target="https://prsindia.org/policy/report-summaries/report-15th-finance-commission-2021-26" TargetMode="External"/><Relationship Id="rId85" Type="http://schemas.openxmlformats.org/officeDocument/2006/relationships/hyperlink" Target="https://en.wikipedia.org/wiki/Finance_Commission" TargetMode="External"/><Relationship Id="rId88" Type="http://schemas.openxmlformats.org/officeDocument/2006/relationships/hyperlink" Target="https://nipfp.org.in/media/medialibrary/2019/01/WP_252_2019.pdf" TargetMode="External"/><Relationship Id="rId87" Type="http://schemas.openxmlformats.org/officeDocument/2006/relationships/hyperlink" Target="https://www.indiabudget.gov.in/budget2015-2016/es2014-15/echapvol1-10.pdf" TargetMode="External"/><Relationship Id="rId89" Type="http://schemas.openxmlformats.org/officeDocument/2006/relationships/hyperlink" Target="https://fincomindia.nic.in/" TargetMode="External"/><Relationship Id="rId80" Type="http://schemas.openxmlformats.org/officeDocument/2006/relationships/hyperlink" Target="https://www.clearias.com/fiscal-federalism/" TargetMode="External"/><Relationship Id="rId82" Type="http://schemas.openxmlformats.org/officeDocument/2006/relationships/hyperlink" Target="https://www.ideasforindia.in/topics/money-finance/16th-finance-commission-towards-vertical-and-horizontal-balance" TargetMode="External"/><Relationship Id="rId81" Type="http://schemas.openxmlformats.org/officeDocument/2006/relationships/hyperlink" Target="https://www.ey.com/en_in/insights/tax/economy-watch/why-the-16-th-finance-commission-must-prioritize-restoration-of-fiscal-bal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uments1.worldbank.org/curated/en/482781468268489222/pdf/Theevolution-of-labour-markets-in-India-1857-1947.pdf" TargetMode="External"/><Relationship Id="rId5" Type="http://schemas.openxmlformats.org/officeDocument/2006/relationships/styles" Target="styles.xml"/><Relationship Id="rId6" Type="http://schemas.openxmlformats.org/officeDocument/2006/relationships/hyperlink" Target="https://prc.ac.in/crm/public/uploads/ssr_documents/Anil-Kumar-Economic-History-of-India-302.pdf" TargetMode="External"/><Relationship Id="rId7" Type="http://schemas.openxmlformats.org/officeDocument/2006/relationships/hyperlink" Target="https://en.wikipedia.org/wiki/Economy_of_India" TargetMode="External"/><Relationship Id="rId8" Type="http://schemas.openxmlformats.org/officeDocument/2006/relationships/hyperlink" Target="https://www.yourarticlelibrary.com/economics/national-income/national-income-estimates-in-india/62829" TargetMode="External"/><Relationship Id="rId73" Type="http://schemas.openxmlformats.org/officeDocument/2006/relationships/hyperlink" Target="https://rua.ua.es/bitstream/10045/23484/2/Taxes_Optimal_12.pdf" TargetMode="External"/><Relationship Id="rId72" Type="http://schemas.openxmlformats.org/officeDocument/2006/relationships/hyperlink" Target="https://www.federalreserve.gov/pubs/feds/2009/200911/index.html" TargetMode="External"/><Relationship Id="rId75" Type="http://schemas.openxmlformats.org/officeDocument/2006/relationships/hyperlink" Target="https://coate.economics.cornell.edu/docs/courses/73612-beamer.pdf" TargetMode="External"/><Relationship Id="rId74" Type="http://schemas.openxmlformats.org/officeDocument/2006/relationships/hyperlink" Target="https://academic.oup.com/ej/article/125/583/235/5076989" TargetMode="External"/><Relationship Id="rId77" Type="http://schemas.openxmlformats.org/officeDocument/2006/relationships/hyperlink" Target="https://www.ibef.org/economy/union-budget-2025-26" TargetMode="External"/><Relationship Id="rId76" Type="http://schemas.openxmlformats.org/officeDocument/2006/relationships/hyperlink" Target="https://www.pib.gov.in/PressReleaseIframePage.aspx?PRID=2098353" TargetMode="External"/><Relationship Id="rId79" Type="http://schemas.openxmlformats.org/officeDocument/2006/relationships/hyperlink" Target="https://www.indiabudget.gov.in/economicsurvey/doc/Infographics%20English.pdf" TargetMode="External"/><Relationship Id="rId78" Type="http://schemas.openxmlformats.org/officeDocument/2006/relationships/hyperlink" Target="https://www.deloitte.com/us/en/insights/topics/economy/asia-pacific/india-economic-outlook.html" TargetMode="External"/><Relationship Id="rId71" Type="http://schemas.openxmlformats.org/officeDocument/2006/relationships/hyperlink" Target="https://gspp.berkeley.edu/assets/uploads/courses/notes/Lec2-DWL-Optimal-Tax.pdf" TargetMode="External"/><Relationship Id="rId70" Type="http://schemas.openxmlformats.org/officeDocument/2006/relationships/hyperlink" Target="https://www.youtube.com/watch?v=AOqkA3X4n6A" TargetMode="External"/><Relationship Id="rId62" Type="http://schemas.openxmlformats.org/officeDocument/2006/relationships/hyperlink" Target="https://www.indiabudget.gov.in/economicsurvey/doc/echapter.pdf" TargetMode="External"/><Relationship Id="rId61" Type="http://schemas.openxmlformats.org/officeDocument/2006/relationships/hyperlink" Target="https://plutusias.com/new-economic-policy-and-industry-in-post-liberalization-era/" TargetMode="External"/><Relationship Id="rId64" Type="http://schemas.openxmlformats.org/officeDocument/2006/relationships/hyperlink" Target="https://prsindia.org/policy/report-summaries/economic-survey-2025-26" TargetMode="External"/><Relationship Id="rId63" Type="http://schemas.openxmlformats.org/officeDocument/2006/relationships/hyperlink" Target="https://www.indiabudget.gov.in/doc/bh1.pdf" TargetMode="External"/><Relationship Id="rId66" Type="http://schemas.openxmlformats.org/officeDocument/2006/relationships/hyperlink" Target="https://articles.outlier.org/what-is-a-trait-of-public-goods" TargetMode="External"/><Relationship Id="rId65" Type="http://schemas.openxmlformats.org/officeDocument/2006/relationships/hyperlink" Target="https://gspp.berkeley.edu/assets/uploads/courses/notes/Lec3-PG-Externality.pdf" TargetMode="External"/><Relationship Id="rId68" Type="http://schemas.openxmlformats.org/officeDocument/2006/relationships/hyperlink" Target="https://www.doonuniversity.ac.in/admin/assets/uploads/docs/final_public%20finance.pdf" TargetMode="External"/><Relationship Id="rId67" Type="http://schemas.openxmlformats.org/officeDocument/2006/relationships/hyperlink" Target="https://plato.stanford.edu/entries/public-goods/" TargetMode="External"/><Relationship Id="rId60" Type="http://schemas.openxmlformats.org/officeDocument/2006/relationships/hyperlink" Target="https://pmc.ncbi.nlm.nih.gov/articles/PMC9940074/" TargetMode="External"/><Relationship Id="rId69" Type="http://schemas.openxmlformats.org/officeDocument/2006/relationships/hyperlink" Target="https://www.khanacademy.org/economics-finance-domain/microeconomics/consumer-producer-surplus/deadweight-loss-tutorial/a/lesson-overview-taxation-and-deadweight-loss" TargetMode="External"/><Relationship Id="rId51" Type="http://schemas.openxmlformats.org/officeDocument/2006/relationships/hyperlink" Target="https://en.wikipedia.org/wiki/Green_Revolution_in_India" TargetMode="External"/><Relationship Id="rId50" Type="http://schemas.openxmlformats.org/officeDocument/2006/relationships/hyperlink" Target="https://en.wikipedia.org/wiki/Agriculture_in_India" TargetMode="External"/><Relationship Id="rId53" Type="http://schemas.openxmlformats.org/officeDocument/2006/relationships/hyperlink" Target="https://nititantra.com/analysis-of-kisan-credit-card-kcc-yojana/" TargetMode="External"/><Relationship Id="rId52" Type="http://schemas.openxmlformats.org/officeDocument/2006/relationships/hyperlink" Target="https://www.pib.gov.in/PressReleasePage.aspx?PRID=2219907" TargetMode="External"/><Relationship Id="rId55" Type="http://schemas.openxmlformats.org/officeDocument/2006/relationships/hyperlink" Target="https://www.pib.gov.in/PressNoteDetails.aspx?NoteId=151859&amp;ModuleId=3" TargetMode="External"/><Relationship Id="rId54" Type="http://schemas.openxmlformats.org/officeDocument/2006/relationships/hyperlink" Target="https://vamnicom.gov.in/uploads/Key_Highlights_Union_Budget2025-26.pdf" TargetMode="External"/><Relationship Id="rId57" Type="http://schemas.openxmlformats.org/officeDocument/2006/relationships/hyperlink" Target="https://www.drishtiias.com/to-the-points/paper3/india-s-industrial-policy" TargetMode="External"/><Relationship Id="rId56" Type="http://schemas.openxmlformats.org/officeDocument/2006/relationships/hyperlink" Target="https://www.xcubelabs.com/blog/the-evolution-of-indian-agriculture-industry-key-policies-and-reforms/" TargetMode="External"/><Relationship Id="rId59" Type="http://schemas.openxmlformats.org/officeDocument/2006/relationships/hyperlink" Target="https://blog.lukmaanias.com/2025/05/24/evolution-of-industrial-policies-in-india/" TargetMode="External"/><Relationship Id="rId58" Type="http://schemas.openxmlformats.org/officeDocument/2006/relationships/hyperlink" Target="https://byjus.com/free-ias-prep/industrial-policy-indi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