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Comprehensive Analysis of the Indian Economy: Historical Macro-Trends, Public Finance, and International Trade Theory</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structural evolution of the Indian economy represents a complex transition from a subjugated colonial appendage to a highly formalized, rapidly expanding global powerhouse. To adequately navigate the syllabus of advanced academic examinations such as the CUET, it is imperative to construct a rigorously detailed understanding of India's macroeconomic heritage, the mechanics of its contemporary fiscal federalism, the theoretical underpinnings of public economics, and the mathematical paradigms of international trade. This extensive report synthesizes historical data, contemporary policy frameworks, and economic theory into a cohesive, exhaustively detailed narrative.</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Overview of the Colonial Economy: Macro Trends and Structural Rigidities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fundamental objective of the British colonial administration was the systematic restructuring of the Indian economy to serve imperial priorities, effectively transforming the subcontinent into a captive market for British manufactured goods and a massive exporter of raw agricultural commodities.</w:t>
      </w:r>
      <w:r w:rsidDel="00000000" w:rsidR="00000000" w:rsidRPr="00000000">
        <w:rPr>
          <w:rFonts w:ascii="Google Sans Text" w:cs="Google Sans Text" w:eastAsia="Google Sans Text" w:hAnsi="Google Sans Text"/>
          <w:color w:val="444746"/>
          <w:sz w:val="24"/>
          <w:szCs w:val="24"/>
          <w:vertAlign w:val="superscript"/>
          <w:rtl w:val="0"/>
        </w:rPr>
        <w:t xml:space="preserve">1</w:t>
      </w:r>
      <w:r w:rsidDel="00000000" w:rsidR="00000000" w:rsidRPr="00000000">
        <w:rPr>
          <w:rFonts w:ascii="Google Sans Text" w:cs="Google Sans Text" w:eastAsia="Google Sans Text" w:hAnsi="Google Sans Text"/>
          <w:color w:val="1f1f1f"/>
          <w:rtl w:val="0"/>
        </w:rPr>
        <w:t xml:space="preserve"> This era was characterized by severe macroeconomic stagnation, which necessitated the first empirical efforts to quantify national output and human destitution.</w:t>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National Income Estimation in Pre-Independence India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pioneering efforts to calculate India's national income were not merely statistical exercises; they were deeply rooted in the nationalist endeavor to mathematically expose the economic exploitation of British rule.</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 Prior to independence, no official governmental body was tasked with computing national income, leaving the domain to eminent economists and statisticians acting in their personal capacities.</w:t>
      </w:r>
      <w:r w:rsidDel="00000000" w:rsidR="00000000" w:rsidRPr="00000000">
        <w:rPr>
          <w:rFonts w:ascii="Google Sans Text" w:cs="Google Sans Text" w:eastAsia="Google Sans Text" w:hAnsi="Google Sans Text"/>
          <w:color w:val="444746"/>
          <w:sz w:val="24"/>
          <w:szCs w:val="24"/>
          <w:vertAlign w:val="superscript"/>
          <w:rtl w:val="0"/>
        </w:rPr>
        <w:t xml:space="preserve">4</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Dadabhai Naoroji, universally recognized as the "Grand Old Man of India," conducted the first notable estimation for the year 1867-1868. Through meticulous analysis of available agricultural and trade data, Naoroji estimated a national income of ₹340 crore and a per capita income of a mere ₹20.</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 Naoroji's methodological brilliance lay in his conceptualization of the "Jail Cost of Living." To establish a baseline for extreme poverty, he calculated the cost of a minimum subsistence diet provided to adult prisoners—comprising rice, flour, dhal, mutton, vegetables, ghee, and salt—and adjusted this figure for the general population by factoring in children, ultimately formulating India's first scientific poverty line.</w:t>
      </w:r>
      <w:r w:rsidDel="00000000" w:rsidR="00000000" w:rsidRPr="00000000">
        <w:rPr>
          <w:rFonts w:ascii="Google Sans Text" w:cs="Google Sans Text" w:eastAsia="Google Sans Text" w:hAnsi="Google Sans Text"/>
          <w:color w:val="444746"/>
          <w:sz w:val="24"/>
          <w:szCs w:val="24"/>
          <w:vertAlign w:val="superscript"/>
          <w:rtl w:val="0"/>
        </w:rPr>
        <w:t xml:space="preserve">6</w:t>
      </w:r>
      <w:r w:rsidDel="00000000" w:rsidR="00000000" w:rsidRPr="00000000">
        <w:rPr>
          <w:rFonts w:ascii="Google Sans Text" w:cs="Google Sans Text" w:eastAsia="Google Sans Text" w:hAnsi="Google Sans Text"/>
          <w:color w:val="1f1f1f"/>
          <w:rtl w:val="0"/>
        </w:rPr>
        <w:t xml:space="preserve"> This empirical foundation became the cornerstone of his seminal "Drain of Wealth" theory.</w:t>
      </w:r>
      <w:r w:rsidDel="00000000" w:rsidR="00000000" w:rsidRPr="00000000">
        <w:rPr>
          <w:rFonts w:ascii="Google Sans Text" w:cs="Google Sans Text" w:eastAsia="Google Sans Text" w:hAnsi="Google Sans Text"/>
          <w:color w:val="444746"/>
          <w:sz w:val="24"/>
          <w:szCs w:val="24"/>
          <w:vertAlign w:val="superscript"/>
          <w:rtl w:val="0"/>
        </w:rPr>
        <w:t xml:space="preserve">3</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Following Naoroji, William Digby, a British writer sympathetic to the nationalist cause, utilized similar methodologies to highlight the acute poverty engendered by imperial policies, generating estimates for 1899.</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Fonts w:ascii="Google Sans Text" w:cs="Google Sans Text" w:eastAsia="Google Sans Text" w:hAnsi="Google Sans Text"/>
          <w:color w:val="1f1f1f"/>
          <w:rtl w:val="0"/>
        </w:rPr>
        <w:t xml:space="preserve"> However, these early estimates often suffered from arbitrary assumptions, such as computing the value of agricultural output and adding a rigid, unverified percentage to account for the non-agricultural sectors.</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transition to rigorous statistical methodology was achieved by Dr. V.K.R.V. Rao, who provided the first scientifically structured estimates of national income for the period 1925-1929 and 1931-1932.</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Fonts w:ascii="Google Sans Text" w:cs="Google Sans Text" w:eastAsia="Google Sans Text" w:hAnsi="Google Sans Text"/>
          <w:color w:val="1f1f1f"/>
          <w:rtl w:val="0"/>
        </w:rPr>
        <w:t xml:space="preserve"> Dr. Rao innovated by bifurcating the Indian economy into two distinct macroeconomic categories. For the primary sector (agriculture, pastures, forests, and fishing), he employed the census of output method. For the secondary and tertiary sectors (corporate industry, trade, transport, and public administration), he utilized the census of income method, subsequently adding the net factor income from abroad.</w:t>
      </w:r>
      <w:r w:rsidDel="00000000" w:rsidR="00000000" w:rsidRPr="00000000">
        <w:rPr>
          <w:rFonts w:ascii="Google Sans Text" w:cs="Google Sans Text" w:eastAsia="Google Sans Text" w:hAnsi="Google Sans Text"/>
          <w:color w:val="444746"/>
          <w:sz w:val="24"/>
          <w:szCs w:val="24"/>
          <w:vertAlign w:val="superscript"/>
          <w:rtl w:val="0"/>
        </w:rPr>
        <w:t xml:space="preserve">4</w:t>
      </w:r>
      <w:r w:rsidDel="00000000" w:rsidR="00000000" w:rsidRPr="00000000">
        <w:rPr>
          <w:rFonts w:ascii="Google Sans Text" w:cs="Google Sans Text" w:eastAsia="Google Sans Text" w:hAnsi="Google Sans Text"/>
          <w:color w:val="1f1f1f"/>
          <w:rtl w:val="0"/>
        </w:rPr>
        <w:t xml:space="preserve"> Other notable contributions included the official estimates prepared by Findlay Shirras (1911, 1922, 1934), who served as the Director of the Bureau of Statistics in Bombay, and the mid-20th-century estimates by R.C. Desai (1931-1940), who pioneered the conceptualization of aggregate consumer expenditure.</w:t>
      </w:r>
      <w:r w:rsidDel="00000000" w:rsidR="00000000" w:rsidRPr="00000000">
        <w:rPr>
          <w:rFonts w:ascii="Google Sans Text" w:cs="Google Sans Text" w:eastAsia="Google Sans Text" w:hAnsi="Google Sans Text"/>
          <w:color w:val="444746"/>
          <w:sz w:val="24"/>
          <w:szCs w:val="24"/>
          <w:vertAlign w:val="superscript"/>
          <w:rtl w:val="0"/>
        </w:rPr>
        <w:t xml:space="preserve">8</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Notable Estimator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Temporal Focus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Primary Contribution and Methodology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Dadabhai Naoroji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1867-1868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Estimated Per Capita Income at ₹20; developed the "Jail Cost of Living" approach; foundational work for the Drain Theory.</w:t>
            </w:r>
            <w:r w:rsidDel="00000000" w:rsidR="00000000" w:rsidRPr="00000000">
              <w:rPr>
                <w:rFonts w:ascii="Google Sans Text" w:cs="Google Sans Text" w:eastAsia="Google Sans Text" w:hAnsi="Google Sans Text"/>
                <w:color w:val="444746"/>
                <w:sz w:val="24"/>
                <w:szCs w:val="24"/>
                <w:vertAlign w:val="superscript"/>
                <w:rtl w:val="0"/>
              </w:rPr>
              <w:t xml:space="preserve">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William Digby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1899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Highlighted severe economic decline through independent income calculations to critique British administrative policies.</w:t>
            </w:r>
            <w:r w:rsidDel="00000000" w:rsidR="00000000" w:rsidRPr="00000000">
              <w:rPr>
                <w:rFonts w:ascii="Google Sans Text" w:cs="Google Sans Text" w:eastAsia="Google Sans Text" w:hAnsi="Google Sans Text"/>
                <w:color w:val="444746"/>
                <w:sz w:val="24"/>
                <w:szCs w:val="24"/>
                <w:vertAlign w:val="superscript"/>
                <w:rtl w:val="0"/>
              </w:rPr>
              <w:t xml:space="preserve">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Findlay Shirras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1911, 1922, 1934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Generated official estimates utilizing available administrative data, albeit with arbitrary non-agricultural additions.</w:t>
            </w:r>
            <w:r w:rsidDel="00000000" w:rsidR="00000000" w:rsidRPr="00000000">
              <w:rPr>
                <w:rFonts w:ascii="Google Sans Text" w:cs="Google Sans Text" w:eastAsia="Google Sans Text" w:hAnsi="Google Sans Text"/>
                <w:color w:val="444746"/>
                <w:sz w:val="24"/>
                <w:szCs w:val="24"/>
                <w:vertAlign w:val="superscript"/>
                <w:rtl w:val="0"/>
              </w:rPr>
              <w:t xml:space="preserve">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Dr. V. K. R. V. Rao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1925-1929, 1931-1932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Formulated the first scientific estimate combining the census of output (agriculture) and census of income (corporate/services) methods.</w:t>
            </w:r>
            <w:r w:rsidDel="00000000" w:rsidR="00000000" w:rsidRPr="00000000">
              <w:rPr>
                <w:rFonts w:ascii="Google Sans Text" w:cs="Google Sans Text" w:eastAsia="Google Sans Text" w:hAnsi="Google Sans Text"/>
                <w:color w:val="444746"/>
                <w:sz w:val="24"/>
                <w:szCs w:val="24"/>
                <w:vertAlign w:val="superscript"/>
                <w:rtl w:val="0"/>
              </w:rPr>
              <w:t xml:space="preserve">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 C. Desai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1931-1940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Focused on consumer expenditure metrics to provide a clearer picture of the standard of living during the late colonial era.</w:t>
            </w:r>
            <w:r w:rsidDel="00000000" w:rsidR="00000000" w:rsidRPr="00000000">
              <w:rPr>
                <w:rFonts w:ascii="Google Sans Text" w:cs="Google Sans Text" w:eastAsia="Google Sans Text" w:hAnsi="Google Sans Text"/>
                <w:color w:val="444746"/>
                <w:sz w:val="24"/>
                <w:szCs w:val="24"/>
                <w:vertAlign w:val="superscript"/>
                <w:rtl w:val="0"/>
              </w:rPr>
              <w:t xml:space="preserve">8</w:t>
            </w:r>
          </w:p>
        </w:tc>
      </w:tr>
    </w:tbl>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Population Dynamics and the Occupational Structure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macroeconomic stagnation quantified by Naoroji and Rao was mirrored in the demographic and occupational rigidities of the era. The year 1921 serves as a critical inflection point, universally recognized as the "Year of the Great Divide" in India's demographic history.</w:t>
      </w:r>
      <w:r w:rsidDel="00000000" w:rsidR="00000000" w:rsidRPr="00000000">
        <w:rPr>
          <w:rFonts w:ascii="Google Sans Text" w:cs="Google Sans Text" w:eastAsia="Google Sans Text" w:hAnsi="Google Sans Text"/>
          <w:color w:val="444746"/>
          <w:sz w:val="24"/>
          <w:szCs w:val="24"/>
          <w:vertAlign w:val="superscript"/>
          <w:rtl w:val="0"/>
        </w:rPr>
        <w:t xml:space="preserve">12</w:t>
      </w:r>
      <w:r w:rsidDel="00000000" w:rsidR="00000000" w:rsidRPr="00000000">
        <w:rPr>
          <w:rFonts w:ascii="Google Sans Text" w:cs="Google Sans Text" w:eastAsia="Google Sans Text" w:hAnsi="Google Sans Text"/>
          <w:color w:val="1f1f1f"/>
          <w:rtl w:val="0"/>
        </w:rPr>
        <w:t xml:space="preserve"> Prior to 1921, India's population growth was highly erratic and essentially stagnant. This pre-1921 phase was characterized by high birth rates that were completely offset by catastrophic mortality rates driven by recurrent famines, virulent epidemics, and an absolute absence of modern medical infrastructure.</w:t>
      </w:r>
      <w:r w:rsidDel="00000000" w:rsidR="00000000" w:rsidRPr="00000000">
        <w:rPr>
          <w:rFonts w:ascii="Google Sans Text" w:cs="Google Sans Text" w:eastAsia="Google Sans Text" w:hAnsi="Google Sans Text"/>
          <w:color w:val="444746"/>
          <w:sz w:val="24"/>
          <w:szCs w:val="24"/>
          <w:vertAlign w:val="superscript"/>
          <w:rtl w:val="0"/>
        </w:rPr>
        <w:t xml:space="preserve">12</w:t>
      </w:r>
      <w:r w:rsidDel="00000000" w:rsidR="00000000" w:rsidRPr="00000000">
        <w:rPr>
          <w:rFonts w:ascii="Google Sans Text" w:cs="Google Sans Text" w:eastAsia="Google Sans Text" w:hAnsi="Google Sans Text"/>
          <w:color w:val="1f1f1f"/>
          <w:rtl w:val="0"/>
        </w:rPr>
        <w:t xml:space="preserve"> The 1921 census recorded a demographic contraction, marking the only instance of negative population growth in the history of Indian censuses.</w:t>
      </w:r>
      <w:r w:rsidDel="00000000" w:rsidR="00000000" w:rsidRPr="00000000">
        <w:rPr>
          <w:rFonts w:ascii="Google Sans Text" w:cs="Google Sans Text" w:eastAsia="Google Sans Text" w:hAnsi="Google Sans Text"/>
          <w:color w:val="444746"/>
          <w:sz w:val="24"/>
          <w:szCs w:val="24"/>
          <w:vertAlign w:val="superscript"/>
          <w:rtl w:val="0"/>
        </w:rPr>
        <w:t xml:space="preserve">13</w:t>
      </w:r>
      <w:r w:rsidDel="00000000" w:rsidR="00000000" w:rsidRPr="00000000">
        <w:rPr>
          <w:rFonts w:ascii="Google Sans Text" w:cs="Google Sans Text" w:eastAsia="Google Sans Text" w:hAnsi="Google Sans Text"/>
          <w:color w:val="1f1f1f"/>
          <w:rtl w:val="0"/>
        </w:rPr>
        <w:t xml:space="preserve"> Post-1921, the nation entered a phase of continuous, steady population expansion. While birth rates remained high, mortality rates began a secular decline due to gradual improvements in epidemic control, transport logistics for food distribution, and basic public health measures.</w:t>
      </w:r>
      <w:r w:rsidDel="00000000" w:rsidR="00000000" w:rsidRPr="00000000">
        <w:rPr>
          <w:rFonts w:ascii="Google Sans Text" w:cs="Google Sans Text" w:eastAsia="Google Sans Text" w:hAnsi="Google Sans Text"/>
          <w:color w:val="444746"/>
          <w:sz w:val="24"/>
          <w:szCs w:val="24"/>
          <w:vertAlign w:val="superscript"/>
          <w:rtl w:val="0"/>
        </w:rPr>
        <w:t xml:space="preserve">13</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Despite this demographic transition toward a rapidly growing labor force, the occupational structure remained remarkably static, indicating a severe lack of structural transformation. Over the entire period from 1901 to 1941, approximately 70% to 75% of the working population remained entirely dependent on the primary sector, specifically agriculture.</w:t>
      </w:r>
      <w:r w:rsidDel="00000000" w:rsidR="00000000" w:rsidRPr="00000000">
        <w:rPr>
          <w:rFonts w:ascii="Google Sans Text" w:cs="Google Sans Text" w:eastAsia="Google Sans Text" w:hAnsi="Google Sans Text"/>
          <w:color w:val="444746"/>
          <w:sz w:val="24"/>
          <w:szCs w:val="24"/>
          <w:vertAlign w:val="superscript"/>
          <w:rtl w:val="0"/>
        </w:rPr>
        <w:t xml:space="preserve">15</w:t>
      </w:r>
      <w:r w:rsidDel="00000000" w:rsidR="00000000" w:rsidRPr="00000000">
        <w:rPr>
          <w:rFonts w:ascii="Google Sans Text" w:cs="Google Sans Text" w:eastAsia="Google Sans Text" w:hAnsi="Google Sans Text"/>
          <w:color w:val="1f1f1f"/>
          <w:rtl w:val="0"/>
        </w:rPr>
        <w:t xml:space="preserve"> The secondary (manufacturing) sector absorbed a mere 9% to 10% of the workforce, while the tertiary (services) sector accounted for 15% to 20%.</w:t>
      </w:r>
      <w:r w:rsidDel="00000000" w:rsidR="00000000" w:rsidRPr="00000000">
        <w:rPr>
          <w:rFonts w:ascii="Google Sans Text" w:cs="Google Sans Text" w:eastAsia="Google Sans Text" w:hAnsi="Google Sans Text"/>
          <w:color w:val="444746"/>
          <w:sz w:val="24"/>
          <w:szCs w:val="24"/>
          <w:vertAlign w:val="superscript"/>
          <w:rtl w:val="0"/>
        </w:rPr>
        <w:t xml:space="preserve">15</w:t>
      </w:r>
      <w:r w:rsidDel="00000000" w:rsidR="00000000" w:rsidRPr="00000000">
        <w:rPr>
          <w:rFonts w:ascii="Google Sans Text" w:cs="Google Sans Text" w:eastAsia="Google Sans Text" w:hAnsi="Google Sans Text"/>
          <w:color w:val="1f1f1f"/>
          <w:rtl w:val="0"/>
        </w:rPr>
        <w:t xml:space="preserve"> This occupational inertia demonstrates that the colonial economy failed to generate sufficient industrial capacity to absorb surplus agricultural labor, resulting in acute disguised unemployment, extreme fragmentation of landholdings, and pervasive rural destitution.</w:t>
      </w:r>
    </w:p>
    <w:p w:rsidR="00000000" w:rsidDel="00000000" w:rsidP="00000000" w:rsidRDefault="00000000" w:rsidRPr="00000000" w14:paraId="00000020">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Agriculture: Agrarian Structure, Land Relations, and Famines</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commercialization of agriculture and the extraction of land revenue formed the financial bedrock of the British Raj. To maximize revenue extraction and consolidate political control, the colonial state dismantled traditional land ownership patterns and instituted three primary land revenue settlements, fundamentally altering agrarian relations.</w:t>
      </w:r>
      <w:r w:rsidDel="00000000" w:rsidR="00000000" w:rsidRPr="00000000">
        <w:rPr>
          <w:rFonts w:ascii="Google Sans Text" w:cs="Google Sans Text" w:eastAsia="Google Sans Text" w:hAnsi="Google Sans Text"/>
          <w:color w:val="444746"/>
          <w:sz w:val="24"/>
          <w:szCs w:val="24"/>
          <w:vertAlign w:val="superscript"/>
          <w:rtl w:val="0"/>
        </w:rPr>
        <w:t xml:space="preserve">18</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Zamindari System, formalized as the Permanent Settlement by Lord Cornwallis in 1793, operated predominantly in Bengal, Bihar, and Odisha, covering roughly 19% of British India.</w:t>
      </w:r>
      <w:r w:rsidDel="00000000" w:rsidR="00000000" w:rsidRPr="00000000">
        <w:rPr>
          <w:rFonts w:ascii="Google Sans Text" w:cs="Google Sans Text" w:eastAsia="Google Sans Text" w:hAnsi="Google Sans Text"/>
          <w:color w:val="444746"/>
          <w:sz w:val="24"/>
          <w:szCs w:val="24"/>
          <w:vertAlign w:val="superscript"/>
          <w:rtl w:val="0"/>
        </w:rPr>
        <w:t xml:space="preserve">18</w:t>
      </w:r>
      <w:r w:rsidDel="00000000" w:rsidR="00000000" w:rsidRPr="00000000">
        <w:rPr>
          <w:rFonts w:ascii="Google Sans Text" w:cs="Google Sans Text" w:eastAsia="Google Sans Text" w:hAnsi="Google Sans Text"/>
          <w:color w:val="1f1f1f"/>
          <w:rtl w:val="0"/>
        </w:rPr>
        <w:t xml:space="preserve"> This policy recognized the Zamindars (former tax collectors) as the hereditary and absolute owners of the land, provided they delivered a permanently fixed revenue demand to the colonial state.</w:t>
      </w:r>
      <w:r w:rsidDel="00000000" w:rsidR="00000000" w:rsidRPr="00000000">
        <w:rPr>
          <w:rFonts w:ascii="Google Sans Text" w:cs="Google Sans Text" w:eastAsia="Google Sans Text" w:hAnsi="Google Sans Text"/>
          <w:color w:val="444746"/>
          <w:sz w:val="24"/>
          <w:szCs w:val="24"/>
          <w:vertAlign w:val="superscript"/>
          <w:rtl w:val="0"/>
        </w:rPr>
        <w:t xml:space="preserve">18</w:t>
      </w:r>
      <w:r w:rsidDel="00000000" w:rsidR="00000000" w:rsidRPr="00000000">
        <w:rPr>
          <w:rFonts w:ascii="Google Sans Text" w:cs="Google Sans Text" w:eastAsia="Google Sans Text" w:hAnsi="Google Sans Text"/>
          <w:color w:val="1f1f1f"/>
          <w:rtl w:val="0"/>
        </w:rPr>
        <w:t xml:space="preserve"> The revenue was expropriatively high; the state claimed 10/11th of the total rent extracted from the peasantry, leaving only 1/11th for the Zamindar.</w:t>
      </w:r>
      <w:r w:rsidDel="00000000" w:rsidR="00000000" w:rsidRPr="00000000">
        <w:rPr>
          <w:rFonts w:ascii="Google Sans Text" w:cs="Google Sans Text" w:eastAsia="Google Sans Text" w:hAnsi="Google Sans Text"/>
          <w:color w:val="444746"/>
          <w:sz w:val="24"/>
          <w:szCs w:val="24"/>
          <w:vertAlign w:val="superscript"/>
          <w:rtl w:val="0"/>
        </w:rPr>
        <w:t xml:space="preserve">20</w:t>
      </w:r>
      <w:r w:rsidDel="00000000" w:rsidR="00000000" w:rsidRPr="00000000">
        <w:rPr>
          <w:rFonts w:ascii="Google Sans Text" w:cs="Google Sans Text" w:eastAsia="Google Sans Text" w:hAnsi="Google Sans Text"/>
          <w:color w:val="1f1f1f"/>
          <w:rtl w:val="0"/>
        </w:rPr>
        <w:t xml:space="preserve"> Crucially, the colonial state placed no statutory limits on the rent Zamindars could extract from the actual cultivators (ryots), leading to rampant sub-infeudation, severe extortion, and the creation of an oppressive class of absentee landlords.</w:t>
      </w:r>
      <w:r w:rsidDel="00000000" w:rsidR="00000000" w:rsidRPr="00000000">
        <w:rPr>
          <w:rFonts w:ascii="Google Sans Text" w:cs="Google Sans Text" w:eastAsia="Google Sans Text" w:hAnsi="Google Sans Text"/>
          <w:color w:val="444746"/>
          <w:sz w:val="24"/>
          <w:szCs w:val="24"/>
          <w:vertAlign w:val="superscript"/>
          <w:rtl w:val="0"/>
        </w:rPr>
        <w:t xml:space="preserve">18</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Recognizing the revenue inflexibility of the Permanent Settlement, the administration instituted the Ryotwari System across the Madras and Bombay presidencies, covering approximately 51% of the territory.</w:t>
      </w:r>
      <w:r w:rsidDel="00000000" w:rsidR="00000000" w:rsidRPr="00000000">
        <w:rPr>
          <w:rFonts w:ascii="Google Sans Text" w:cs="Google Sans Text" w:eastAsia="Google Sans Text" w:hAnsi="Google Sans Text"/>
          <w:color w:val="444746"/>
          <w:sz w:val="24"/>
          <w:szCs w:val="24"/>
          <w:vertAlign w:val="superscript"/>
          <w:rtl w:val="0"/>
        </w:rPr>
        <w:t xml:space="preserve">19</w:t>
      </w:r>
      <w:r w:rsidDel="00000000" w:rsidR="00000000" w:rsidRPr="00000000">
        <w:rPr>
          <w:rFonts w:ascii="Google Sans Text" w:cs="Google Sans Text" w:eastAsia="Google Sans Text" w:hAnsi="Google Sans Text"/>
          <w:color w:val="1f1f1f"/>
          <w:rtl w:val="0"/>
        </w:rPr>
        <w:t xml:space="preserve"> Pioneered by Thomas Munro and Alexander Read around 1820, this system eliminated intermediaries by establishing a direct fiscal relationship between the government and the individual peasant cultivator (ryot).</w:t>
      </w:r>
      <w:r w:rsidDel="00000000" w:rsidR="00000000" w:rsidRPr="00000000">
        <w:rPr>
          <w:rFonts w:ascii="Google Sans Text" w:cs="Google Sans Text" w:eastAsia="Google Sans Text" w:hAnsi="Google Sans Text"/>
          <w:color w:val="444746"/>
          <w:sz w:val="24"/>
          <w:szCs w:val="24"/>
          <w:vertAlign w:val="superscript"/>
          <w:rtl w:val="0"/>
        </w:rPr>
        <w:t xml:space="preserve">21</w:t>
      </w:r>
      <w:r w:rsidDel="00000000" w:rsidR="00000000" w:rsidRPr="00000000">
        <w:rPr>
          <w:rFonts w:ascii="Google Sans Text" w:cs="Google Sans Text" w:eastAsia="Google Sans Text" w:hAnsi="Google Sans Text"/>
          <w:color w:val="1f1f1f"/>
          <w:rtl w:val="0"/>
        </w:rPr>
        <w:t xml:space="preserve"> The ryot was granted ownership rights, but these were contingent upon the payment of exorbitant tax rates—often assessed at 50% of the produce on dry land and 60% on wet land.</w:t>
      </w:r>
      <w:r w:rsidDel="00000000" w:rsidR="00000000" w:rsidRPr="00000000">
        <w:rPr>
          <w:rFonts w:ascii="Google Sans Text" w:cs="Google Sans Text" w:eastAsia="Google Sans Text" w:hAnsi="Google Sans Text"/>
          <w:color w:val="444746"/>
          <w:sz w:val="24"/>
          <w:szCs w:val="24"/>
          <w:vertAlign w:val="superscript"/>
          <w:rtl w:val="0"/>
        </w:rPr>
        <w:t xml:space="preserve">22</w:t>
      </w:r>
      <w:r w:rsidDel="00000000" w:rsidR="00000000" w:rsidRPr="00000000">
        <w:rPr>
          <w:rFonts w:ascii="Google Sans Text" w:cs="Google Sans Text" w:eastAsia="Google Sans Text" w:hAnsi="Google Sans Text"/>
          <w:color w:val="1f1f1f"/>
          <w:rtl w:val="0"/>
        </w:rPr>
        <w:t xml:space="preserve"> Unlike the Zamindari system, Ryotwari assessments were temporary and subject to periodic upward revision (typically every 30 years). The insistence on rigid cash payments forced farmers to cultivate cash crops or turn to exploitative moneylenders, resulting in massive rural indebtedness and the widespread loss of land titles.</w:t>
      </w:r>
      <w:r w:rsidDel="00000000" w:rsidR="00000000" w:rsidRPr="00000000">
        <w:rPr>
          <w:rFonts w:ascii="Google Sans Text" w:cs="Google Sans Text" w:eastAsia="Google Sans Text" w:hAnsi="Google Sans Text"/>
          <w:color w:val="444746"/>
          <w:sz w:val="24"/>
          <w:szCs w:val="24"/>
          <w:vertAlign w:val="superscript"/>
          <w:rtl w:val="0"/>
        </w:rPr>
        <w:t xml:space="preserve">22</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Mahalwari System, conceptualized by Holt Mackenzie in 1822 and reformed by Lord William Bentinck in 1833, represented a hybrid approach implemented in the North-West Frontier, Agra, Punjab, and the Gangetic Valley (covering 30% of the area).</w:t>
      </w:r>
      <w:r w:rsidDel="00000000" w:rsidR="00000000" w:rsidRPr="00000000">
        <w:rPr>
          <w:rFonts w:ascii="Google Sans Text" w:cs="Google Sans Text" w:eastAsia="Google Sans Text" w:hAnsi="Google Sans Text"/>
          <w:color w:val="444746"/>
          <w:sz w:val="24"/>
          <w:szCs w:val="24"/>
          <w:vertAlign w:val="superscript"/>
          <w:rtl w:val="0"/>
        </w:rPr>
        <w:t xml:space="preserve">19</w:t>
      </w:r>
      <w:r w:rsidDel="00000000" w:rsidR="00000000" w:rsidRPr="00000000">
        <w:rPr>
          <w:rFonts w:ascii="Google Sans Text" w:cs="Google Sans Text" w:eastAsia="Google Sans Text" w:hAnsi="Google Sans Text"/>
          <w:color w:val="1f1f1f"/>
          <w:rtl w:val="0"/>
        </w:rPr>
        <w:t xml:space="preserve"> The unit of assessment was the 'Mahal,' which could comprise a single village or a cluster of villages. The village community was held jointly responsible for the payment of revenue, with collection duties delegated to the village headman.</w:t>
      </w:r>
      <w:r w:rsidDel="00000000" w:rsidR="00000000" w:rsidRPr="00000000">
        <w:rPr>
          <w:rFonts w:ascii="Google Sans Text" w:cs="Google Sans Text" w:eastAsia="Google Sans Text" w:hAnsi="Google Sans Text"/>
          <w:color w:val="444746"/>
          <w:sz w:val="24"/>
          <w:szCs w:val="24"/>
          <w:vertAlign w:val="superscript"/>
          <w:rtl w:val="0"/>
        </w:rPr>
        <w:t xml:space="preserve">21</w:t>
      </w:r>
      <w:r w:rsidDel="00000000" w:rsidR="00000000" w:rsidRPr="00000000">
        <w:rPr>
          <w:rFonts w:ascii="Google Sans Text" w:cs="Google Sans Text" w:eastAsia="Google Sans Text" w:hAnsi="Google Sans Text"/>
          <w:color w:val="1f1f1f"/>
          <w:rtl w:val="0"/>
        </w:rPr>
        <w:t xml:space="preserve"> While it preserved elements of collective ownership, the revenue demands remained cripplingly high and were periodically revised, perpetuating the cycle of agrarian distress.</w:t>
      </w:r>
      <w:r w:rsidDel="00000000" w:rsidR="00000000" w:rsidRPr="00000000">
        <w:rPr>
          <w:rFonts w:ascii="Google Sans Text" w:cs="Google Sans Text" w:eastAsia="Google Sans Text" w:hAnsi="Google Sans Text"/>
          <w:color w:val="444746"/>
          <w:sz w:val="24"/>
          <w:szCs w:val="24"/>
          <w:vertAlign w:val="superscript"/>
          <w:rtl w:val="0"/>
        </w:rPr>
        <w:t xml:space="preserve">23</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Key Feature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Zamindari System (Permanent Settlement)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Ryotwari System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Mahalwari System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Introduction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1793 by Lord Cornwallis </w:t>
            </w:r>
            <w:r w:rsidDel="00000000" w:rsidR="00000000" w:rsidRPr="00000000">
              <w:rPr>
                <w:rFonts w:ascii="Google Sans Text" w:cs="Google Sans Text" w:eastAsia="Google Sans Text" w:hAnsi="Google Sans Text"/>
                <w:color w:val="444746"/>
                <w:sz w:val="24"/>
                <w:szCs w:val="24"/>
                <w:vertAlign w:val="superscript"/>
                <w:rtl w:val="0"/>
              </w:rPr>
              <w:t xml:space="preserve">19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1820 by Thomas Munro &amp; Alexander Read </w:t>
            </w:r>
            <w:r w:rsidDel="00000000" w:rsidR="00000000" w:rsidRPr="00000000">
              <w:rPr>
                <w:rFonts w:ascii="Google Sans Text" w:cs="Google Sans Text" w:eastAsia="Google Sans Text" w:hAnsi="Google Sans Text"/>
                <w:color w:val="444746"/>
                <w:sz w:val="24"/>
                <w:szCs w:val="24"/>
                <w:vertAlign w:val="superscript"/>
                <w:rtl w:val="0"/>
              </w:rPr>
              <w:t xml:space="preserve">24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1822 by Holt Mackenzie; revised 1833 by W. Bentinck </w:t>
            </w:r>
            <w:r w:rsidDel="00000000" w:rsidR="00000000" w:rsidRPr="00000000">
              <w:rPr>
                <w:rFonts w:ascii="Google Sans Text" w:cs="Google Sans Text" w:eastAsia="Google Sans Text" w:hAnsi="Google Sans Text"/>
                <w:color w:val="444746"/>
                <w:sz w:val="24"/>
                <w:szCs w:val="24"/>
                <w:vertAlign w:val="superscript"/>
                <w:rtl w:val="0"/>
              </w:rPr>
              <w:t xml:space="preserve">19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Geographic Scope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Bengal, Bihar, Odisha (19% of area) </w:t>
            </w:r>
            <w:r w:rsidDel="00000000" w:rsidR="00000000" w:rsidRPr="00000000">
              <w:rPr>
                <w:rFonts w:ascii="Google Sans Text" w:cs="Google Sans Text" w:eastAsia="Google Sans Text" w:hAnsi="Google Sans Text"/>
                <w:color w:val="444746"/>
                <w:sz w:val="24"/>
                <w:szCs w:val="24"/>
                <w:vertAlign w:val="superscript"/>
                <w:rtl w:val="0"/>
              </w:rPr>
              <w:t xml:space="preserve">19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Madras, Bombay, Assam (51% of area) </w:t>
            </w:r>
            <w:r w:rsidDel="00000000" w:rsidR="00000000" w:rsidRPr="00000000">
              <w:rPr>
                <w:rFonts w:ascii="Google Sans Text" w:cs="Google Sans Text" w:eastAsia="Google Sans Text" w:hAnsi="Google Sans Text"/>
                <w:color w:val="444746"/>
                <w:sz w:val="24"/>
                <w:szCs w:val="24"/>
                <w:vertAlign w:val="superscript"/>
                <w:rtl w:val="0"/>
              </w:rPr>
              <w:t xml:space="preserve">19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Punjab, NWFP, Gangetic Valley, Central Prov. (30% area) </w:t>
            </w:r>
            <w:r w:rsidDel="00000000" w:rsidR="00000000" w:rsidRPr="00000000">
              <w:rPr>
                <w:rFonts w:ascii="Google Sans Text" w:cs="Google Sans Text" w:eastAsia="Google Sans Text" w:hAnsi="Google Sans Text"/>
                <w:color w:val="444746"/>
                <w:sz w:val="24"/>
                <w:szCs w:val="24"/>
                <w:vertAlign w:val="superscript"/>
                <w:rtl w:val="0"/>
              </w:rPr>
              <w:t xml:space="preserve">19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Unit of Assessment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Estate of the intermediary Zamindar </w:t>
            </w:r>
            <w:r w:rsidDel="00000000" w:rsidR="00000000" w:rsidRPr="00000000">
              <w:rPr>
                <w:rFonts w:ascii="Google Sans Text" w:cs="Google Sans Text" w:eastAsia="Google Sans Text" w:hAnsi="Google Sans Text"/>
                <w:color w:val="444746"/>
                <w:sz w:val="24"/>
                <w:szCs w:val="24"/>
                <w:vertAlign w:val="superscript"/>
                <w:rtl w:val="0"/>
              </w:rPr>
              <w:t xml:space="preserve">19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Individual holding of the Ryot (peasant) </w:t>
            </w:r>
            <w:r w:rsidDel="00000000" w:rsidR="00000000" w:rsidRPr="00000000">
              <w:rPr>
                <w:rFonts w:ascii="Google Sans Text" w:cs="Google Sans Text" w:eastAsia="Google Sans Text" w:hAnsi="Google Sans Text"/>
                <w:color w:val="444746"/>
                <w:sz w:val="24"/>
                <w:szCs w:val="24"/>
                <w:vertAlign w:val="superscript"/>
                <w:rtl w:val="0"/>
              </w:rPr>
              <w:t xml:space="preserve">19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The Mahal (village or group of villages) </w:t>
            </w:r>
            <w:r w:rsidDel="00000000" w:rsidR="00000000" w:rsidRPr="00000000">
              <w:rPr>
                <w:rFonts w:ascii="Google Sans Text" w:cs="Google Sans Text" w:eastAsia="Google Sans Text" w:hAnsi="Google Sans Text"/>
                <w:color w:val="444746"/>
                <w:sz w:val="24"/>
                <w:szCs w:val="24"/>
                <w:vertAlign w:val="superscript"/>
                <w:rtl w:val="0"/>
              </w:rPr>
              <w:t xml:space="preserve">19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Ownership &amp; Liability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Zamindar held proprietary rights; liable to the State </w:t>
            </w:r>
            <w:r w:rsidDel="00000000" w:rsidR="00000000" w:rsidRPr="00000000">
              <w:rPr>
                <w:rFonts w:ascii="Google Sans Text" w:cs="Google Sans Text" w:eastAsia="Google Sans Text" w:hAnsi="Google Sans Text"/>
                <w:color w:val="444746"/>
                <w:sz w:val="24"/>
                <w:szCs w:val="24"/>
                <w:vertAlign w:val="superscript"/>
                <w:rtl w:val="0"/>
              </w:rPr>
              <w:t xml:space="preserve">18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Ryot held ownership; directly liable to the State </w:t>
            </w:r>
            <w:r w:rsidDel="00000000" w:rsidR="00000000" w:rsidRPr="00000000">
              <w:rPr>
                <w:rFonts w:ascii="Google Sans Text" w:cs="Google Sans Text" w:eastAsia="Google Sans Text" w:hAnsi="Google Sans Text"/>
                <w:color w:val="444746"/>
                <w:sz w:val="24"/>
                <w:szCs w:val="24"/>
                <w:vertAlign w:val="superscript"/>
                <w:rtl w:val="0"/>
              </w:rPr>
              <w:t xml:space="preserve">22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Village community held ownership; headman liable to State </w:t>
            </w:r>
            <w:r w:rsidDel="00000000" w:rsidR="00000000" w:rsidRPr="00000000">
              <w:rPr>
                <w:rFonts w:ascii="Google Sans Text" w:cs="Google Sans Text" w:eastAsia="Google Sans Text" w:hAnsi="Google Sans Text"/>
                <w:color w:val="444746"/>
                <w:sz w:val="24"/>
                <w:szCs w:val="24"/>
                <w:vertAlign w:val="superscript"/>
                <w:rtl w:val="0"/>
              </w:rPr>
              <w:t xml:space="preserve">21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Revenue Nature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Fixed permanently in perpetuity (10/11th to State) </w:t>
            </w:r>
            <w:r w:rsidDel="00000000" w:rsidR="00000000" w:rsidRPr="00000000">
              <w:rPr>
                <w:rFonts w:ascii="Google Sans Text" w:cs="Google Sans Text" w:eastAsia="Google Sans Text" w:hAnsi="Google Sans Text"/>
                <w:color w:val="444746"/>
                <w:sz w:val="24"/>
                <w:szCs w:val="24"/>
                <w:vertAlign w:val="superscript"/>
                <w:rtl w:val="0"/>
              </w:rPr>
              <w:t xml:space="preserve">18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Non-permanent; subject to periodic revision (High rates) </w:t>
            </w:r>
            <w:r w:rsidDel="00000000" w:rsidR="00000000" w:rsidRPr="00000000">
              <w:rPr>
                <w:rFonts w:ascii="Google Sans Text" w:cs="Google Sans Text" w:eastAsia="Google Sans Text" w:hAnsi="Google Sans Text"/>
                <w:color w:val="444746"/>
                <w:sz w:val="24"/>
                <w:szCs w:val="24"/>
                <w:vertAlign w:val="superscript"/>
                <w:rtl w:val="0"/>
              </w:rPr>
              <w:t xml:space="preserve">19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Non-permanent; subject to periodic revision </w:t>
            </w:r>
            <w:r w:rsidDel="00000000" w:rsidR="00000000" w:rsidRPr="00000000">
              <w:rPr>
                <w:rFonts w:ascii="Google Sans Text" w:cs="Google Sans Text" w:eastAsia="Google Sans Text" w:hAnsi="Google Sans Text"/>
                <w:color w:val="444746"/>
                <w:sz w:val="24"/>
                <w:szCs w:val="24"/>
                <w:vertAlign w:val="superscript"/>
                <w:rtl w:val="0"/>
              </w:rPr>
              <w:t xml:space="preserve">19</w:t>
            </w:r>
          </w:p>
        </w:tc>
      </w:tr>
    </w:tbl>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structural violence of these land revenue systems, combined with the forced commercialization of agriculture (the shift from food grain to cash crops like cotton and indigo for export), dismantled traditional food security mechanisms.</w:t>
      </w:r>
      <w:r w:rsidDel="00000000" w:rsidR="00000000" w:rsidRPr="00000000">
        <w:rPr>
          <w:rFonts w:ascii="Google Sans Text" w:cs="Google Sans Text" w:eastAsia="Google Sans Text" w:hAnsi="Google Sans Text"/>
          <w:color w:val="444746"/>
          <w:sz w:val="24"/>
          <w:szCs w:val="24"/>
          <w:vertAlign w:val="superscript"/>
          <w:rtl w:val="0"/>
        </w:rPr>
        <w:t xml:space="preserve">22</w:t>
      </w:r>
      <w:r w:rsidDel="00000000" w:rsidR="00000000" w:rsidRPr="00000000">
        <w:rPr>
          <w:rFonts w:ascii="Google Sans Text" w:cs="Google Sans Text" w:eastAsia="Google Sans Text" w:hAnsi="Google Sans Text"/>
          <w:color w:val="1f1f1f"/>
          <w:rtl w:val="0"/>
        </w:rPr>
        <w:t xml:space="preserve"> This ecological and economic fragility resulted in a succession of catastrophic famines throughout the 19th and early 20th centuries. The colonial state's initial adherence to Malthusian principles and laissez-faire economics exacerbated the mortality rates, eventually forcing the administration to institutionalize famine relief through a series of dedicated commissions.</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George Campbell Commission (1866), established following the devastating Orissa Famine, was the first to criticize the government's inaction and recommend active state intervention in organizing relief.</w:t>
      </w:r>
      <w:r w:rsidDel="00000000" w:rsidR="00000000" w:rsidRPr="00000000">
        <w:rPr>
          <w:rFonts w:ascii="Google Sans Text" w:cs="Google Sans Text" w:eastAsia="Google Sans Text" w:hAnsi="Google Sans Text"/>
          <w:color w:val="444746"/>
          <w:sz w:val="24"/>
          <w:szCs w:val="24"/>
          <w:vertAlign w:val="superscript"/>
          <w:rtl w:val="0"/>
        </w:rPr>
        <w:t xml:space="preserve">26</w:t>
      </w:r>
      <w:r w:rsidDel="00000000" w:rsidR="00000000" w:rsidRPr="00000000">
        <w:rPr>
          <w:rFonts w:ascii="Google Sans Text" w:cs="Google Sans Text" w:eastAsia="Google Sans Text" w:hAnsi="Google Sans Text"/>
          <w:color w:val="1f1f1f"/>
          <w:rtl w:val="0"/>
        </w:rPr>
        <w:t xml:space="preserve"> The subsequent Great Famine of 1876-1878 necessitated a more structural response, leading to the appointment of the Sir Richard Strachey Commission in 1880.</w:t>
      </w:r>
      <w:r w:rsidDel="00000000" w:rsidR="00000000" w:rsidRPr="00000000">
        <w:rPr>
          <w:rFonts w:ascii="Google Sans Text" w:cs="Google Sans Text" w:eastAsia="Google Sans Text" w:hAnsi="Google Sans Text"/>
          <w:color w:val="444746"/>
          <w:sz w:val="24"/>
          <w:szCs w:val="24"/>
          <w:vertAlign w:val="superscript"/>
          <w:rtl w:val="0"/>
        </w:rPr>
        <w:t xml:space="preserve">28</w:t>
      </w:r>
      <w:r w:rsidDel="00000000" w:rsidR="00000000" w:rsidRPr="00000000">
        <w:rPr>
          <w:rFonts w:ascii="Google Sans Text" w:cs="Google Sans Text" w:eastAsia="Google Sans Text" w:hAnsi="Google Sans Text"/>
          <w:color w:val="1f1f1f"/>
          <w:rtl w:val="0"/>
        </w:rPr>
        <w:t xml:space="preserve"> The Strachey Commission's most enduring legacy was the recommendation to formulate a comprehensive "Famine Code" (promulgated in 1883), which mandated the creation of early warning systems, the suspension of land revenue during distress, and the provision of gratuitous relief and public works employment.</w:t>
      </w:r>
      <w:r w:rsidDel="00000000" w:rsidR="00000000" w:rsidRPr="00000000">
        <w:rPr>
          <w:rFonts w:ascii="Google Sans Text" w:cs="Google Sans Text" w:eastAsia="Google Sans Text" w:hAnsi="Google Sans Text"/>
          <w:color w:val="444746"/>
          <w:sz w:val="24"/>
          <w:szCs w:val="24"/>
          <w:vertAlign w:val="superscript"/>
          <w:rtl w:val="0"/>
        </w:rPr>
        <w:t xml:space="preserve">28</w:t>
      </w:r>
      <w:r w:rsidDel="00000000" w:rsidR="00000000" w:rsidRPr="00000000">
        <w:rPr>
          <w:rFonts w:ascii="Google Sans Text" w:cs="Google Sans Text" w:eastAsia="Google Sans Text" w:hAnsi="Google Sans Text"/>
          <w:color w:val="1f1f1f"/>
          <w:rtl w:val="0"/>
        </w:rPr>
        <w:t xml:space="preserve"> As famines persisted, the Sir James Lyall Commission (1896-1897) was convened, placing heavy emphasis on the rapid development of irrigation infrastructure to prevent crop failures.</w:t>
      </w:r>
      <w:r w:rsidDel="00000000" w:rsidR="00000000" w:rsidRPr="00000000">
        <w:rPr>
          <w:rFonts w:ascii="Google Sans Text" w:cs="Google Sans Text" w:eastAsia="Google Sans Text" w:hAnsi="Google Sans Text"/>
          <w:color w:val="444746"/>
          <w:sz w:val="24"/>
          <w:szCs w:val="24"/>
          <w:vertAlign w:val="superscript"/>
          <w:rtl w:val="0"/>
        </w:rPr>
        <w:t xml:space="preserve">28</w:t>
      </w:r>
      <w:r w:rsidDel="00000000" w:rsidR="00000000" w:rsidRPr="00000000">
        <w:rPr>
          <w:rFonts w:ascii="Google Sans Text" w:cs="Google Sans Text" w:eastAsia="Google Sans Text" w:hAnsi="Google Sans Text"/>
          <w:color w:val="1f1f1f"/>
          <w:rtl w:val="0"/>
        </w:rPr>
        <w:t xml:space="preserve"> Following the famine of 1899-1900, the MacDonnell Commission (1900) further refined the relief architecture by recommending the appointment of dedicated Famine Commissioners, advocating for "moral strategy," and emphasizing the early distribution of agricultural advances for seeds and cattle.</w:t>
      </w:r>
      <w:r w:rsidDel="00000000" w:rsidR="00000000" w:rsidRPr="00000000">
        <w:rPr>
          <w:rFonts w:ascii="Google Sans Text" w:cs="Google Sans Text" w:eastAsia="Google Sans Text" w:hAnsi="Google Sans Text"/>
          <w:color w:val="444746"/>
          <w:sz w:val="24"/>
          <w:szCs w:val="24"/>
          <w:vertAlign w:val="superscript"/>
          <w:rtl w:val="0"/>
        </w:rPr>
        <w:t xml:space="preserve">28</w:t>
      </w:r>
      <w:r w:rsidDel="00000000" w:rsidR="00000000" w:rsidRPr="00000000">
        <w:rPr>
          <w:rFonts w:ascii="Google Sans Text" w:cs="Google Sans Text" w:eastAsia="Google Sans Text" w:hAnsi="Google Sans Text"/>
          <w:color w:val="1f1f1f"/>
          <w:rtl w:val="0"/>
        </w:rPr>
        <w:t xml:space="preserve"> The final major inquiry of the colonial era was the John Woodhead Commission (Famine Inquiry Commission of 1944), tasked with investigating the Bengal Famine of 1943, which highlighted the disastrous impact of wartime inflation, hoarding, and catastrophic administrative failures.</w:t>
      </w:r>
      <w:r w:rsidDel="00000000" w:rsidR="00000000" w:rsidRPr="00000000">
        <w:rPr>
          <w:rFonts w:ascii="Google Sans Text" w:cs="Google Sans Text" w:eastAsia="Google Sans Text" w:hAnsi="Google Sans Text"/>
          <w:color w:val="444746"/>
          <w:sz w:val="24"/>
          <w:szCs w:val="24"/>
          <w:vertAlign w:val="superscript"/>
          <w:rtl w:val="0"/>
        </w:rPr>
        <w:t xml:space="preserve">30</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tl w:val="0"/>
        </w:rPr>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Famine Commission / 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 Established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Presiding Viceroy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Core Focus and Primary Recommendations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George Campbell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1866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Sir John Lawrence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Investigated the Orissa Famine; criticized laissez-faire policies; recommended state-organized relief efforts.</w:t>
            </w:r>
            <w:r w:rsidDel="00000000" w:rsidR="00000000" w:rsidRPr="00000000">
              <w:rPr>
                <w:rFonts w:ascii="Google Sans Text" w:cs="Google Sans Text" w:eastAsia="Google Sans Text" w:hAnsi="Google Sans Text"/>
                <w:color w:val="444746"/>
                <w:sz w:val="24"/>
                <w:szCs w:val="24"/>
                <w:vertAlign w:val="superscript"/>
                <w:rtl w:val="0"/>
              </w:rPr>
              <w:t xml:space="preserve">26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Sir Richard Strachey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1878 - 1880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Lytton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Investigated the Great Famine (1876-78); recommended the creation of the comprehensive </w:t>
            </w:r>
            <w:r w:rsidDel="00000000" w:rsidR="00000000" w:rsidRPr="00000000">
              <w:rPr>
                <w:rFonts w:ascii="Google Sans Text" w:cs="Google Sans Text" w:eastAsia="Google Sans Text" w:hAnsi="Google Sans Text"/>
                <w:b w:val="1"/>
                <w:bCs w:val="1"/>
                <w:color w:val="1f1f1f"/>
                <w:shd w:fill="auto" w:val="clear"/>
                <w:rtl w:val="0"/>
              </w:rPr>
              <w:t xml:space="preserve">Famine Code (1883)</w:t>
            </w:r>
            <w:r w:rsidDel="00000000" w:rsidR="00000000" w:rsidRPr="00000000">
              <w:rPr>
                <w:rFonts w:ascii="Google Sans Text" w:cs="Google Sans Text" w:eastAsia="Google Sans Text" w:hAnsi="Google Sans Text"/>
                <w:color w:val="1f1f1f"/>
                <w:shd w:fill="auto" w:val="clear"/>
                <w:rtl w:val="0"/>
              </w:rPr>
              <w:t xml:space="preserve">, revenue suspension, and public works.</w:t>
            </w:r>
            <w:r w:rsidDel="00000000" w:rsidR="00000000" w:rsidRPr="00000000">
              <w:rPr>
                <w:rFonts w:ascii="Google Sans Text" w:cs="Google Sans Text" w:eastAsia="Google Sans Text" w:hAnsi="Google Sans Text"/>
                <w:color w:val="444746"/>
                <w:sz w:val="24"/>
                <w:szCs w:val="24"/>
                <w:vertAlign w:val="superscript"/>
                <w:rtl w:val="0"/>
              </w:rPr>
              <w:t xml:space="preserve">28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Sir James Lyall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1896 - 1897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Elgin II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Re-evaluated existing codes post-1896 famine; strongly recommended the expansion of irrigation facilities.</w:t>
            </w:r>
            <w:r w:rsidDel="00000000" w:rsidR="00000000" w:rsidRPr="00000000">
              <w:rPr>
                <w:rFonts w:ascii="Google Sans Text" w:cs="Google Sans Text" w:eastAsia="Google Sans Text" w:hAnsi="Google Sans Text"/>
                <w:color w:val="444746"/>
                <w:sz w:val="24"/>
                <w:szCs w:val="24"/>
                <w:vertAlign w:val="superscript"/>
                <w:rtl w:val="0"/>
              </w:rPr>
              <w:t xml:space="preserve">28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Antony MacDonnell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Curzon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Evaluated the 1899-1900 famine; advocated for a "moral strategy," permanent provincial famine relief organizations, and early seed advances.</w:t>
            </w:r>
            <w:r w:rsidDel="00000000" w:rsidR="00000000" w:rsidRPr="00000000">
              <w:rPr>
                <w:rFonts w:ascii="Google Sans Text" w:cs="Google Sans Text" w:eastAsia="Google Sans Text" w:hAnsi="Google Sans Text"/>
                <w:color w:val="444746"/>
                <w:sz w:val="24"/>
                <w:szCs w:val="24"/>
                <w:vertAlign w:val="superscript"/>
                <w:rtl w:val="0"/>
              </w:rPr>
              <w:t xml:space="preserve">28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John Woodhead Commission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1944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Wavell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Investigated the 1943 Bengal Famine; controversially downplayed direct government culpability while highlighting complex wartime economic disruptions.</w:t>
            </w:r>
            <w:r w:rsidDel="00000000" w:rsidR="00000000" w:rsidRPr="00000000">
              <w:rPr>
                <w:rFonts w:ascii="Google Sans Text" w:cs="Google Sans Text" w:eastAsia="Google Sans Text" w:hAnsi="Google Sans Text"/>
                <w:color w:val="444746"/>
                <w:sz w:val="24"/>
                <w:szCs w:val="24"/>
                <w:vertAlign w:val="superscript"/>
                <w:rtl w:val="0"/>
              </w:rPr>
              <w:t xml:space="preserve">30</w:t>
            </w:r>
          </w:p>
        </w:tc>
      </w:tr>
    </w:tbl>
    <w:p w:rsidR="00000000" w:rsidDel="00000000" w:rsidP="00000000" w:rsidRDefault="00000000" w:rsidRPr="00000000" w14:paraId="00000059">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Railways, Industry, and the De-industrialization Debate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narrative of Indian industrialization under colonial rule is defined by the destruction of indigenous crafts, the strategic motives behind infrastructural deployment, and the delayed emergence of modern domestic enterprise. India's pre-colonial status as a dominant global exporter of textiles was systematically dismantled over the 19th century.</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phenomenon of de-industrialization forms a central axis of nationalist economic historiography. Scholars such as R.C. Dutt, Dadabhai Naoroji, and later Bipan Chandra argued that the influx of cheap, machine-made goods from industrializing Britain—facilitated by discriminatory tariff policies and the loss of royal patronage—destroyed traditional Indian artisanal industries.</w:t>
      </w:r>
      <w:r w:rsidDel="00000000" w:rsidR="00000000" w:rsidRPr="00000000">
        <w:rPr>
          <w:rFonts w:ascii="Google Sans Text" w:cs="Google Sans Text" w:eastAsia="Google Sans Text" w:hAnsi="Google Sans Text"/>
          <w:color w:val="444746"/>
          <w:sz w:val="24"/>
          <w:szCs w:val="24"/>
          <w:vertAlign w:val="superscript"/>
          <w:rtl w:val="0"/>
        </w:rPr>
        <w:t xml:space="preserve">33</w:t>
      </w:r>
      <w:r w:rsidDel="00000000" w:rsidR="00000000" w:rsidRPr="00000000">
        <w:rPr>
          <w:rFonts w:ascii="Google Sans Text" w:cs="Google Sans Text" w:eastAsia="Google Sans Text" w:hAnsi="Google Sans Text"/>
          <w:color w:val="1f1f1f"/>
          <w:rtl w:val="0"/>
        </w:rPr>
        <w:t xml:space="preserve"> Unable to compete, millions of weavers and artisans were displaced, retreating into an already saturated agricultural sector, which accounts for the stagnant occupational distribution noted earlier.</w:t>
      </w:r>
      <w:r w:rsidDel="00000000" w:rsidR="00000000" w:rsidRPr="00000000">
        <w:rPr>
          <w:rFonts w:ascii="Google Sans Text" w:cs="Google Sans Text" w:eastAsia="Google Sans Text" w:hAnsi="Google Sans Text"/>
          <w:color w:val="444746"/>
          <w:sz w:val="24"/>
          <w:szCs w:val="24"/>
          <w:vertAlign w:val="superscript"/>
          <w:rtl w:val="0"/>
        </w:rPr>
        <w:t xml:space="preserve">34</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This nationalist consensus faced intense scrutiny from a revisionist Western viewpoint, most prominently articulated by American economic historian Morris D. Morris. Morris contended that de-industrialization was a macroeconomic myth.</w:t>
      </w:r>
      <w:r w:rsidDel="00000000" w:rsidR="00000000" w:rsidRPr="00000000">
        <w:rPr>
          <w:rFonts w:ascii="Google Sans Text" w:cs="Google Sans Text" w:eastAsia="Google Sans Text" w:hAnsi="Google Sans Text"/>
          <w:color w:val="444746"/>
          <w:sz w:val="24"/>
          <w:szCs w:val="24"/>
          <w:vertAlign w:val="superscript"/>
          <w:rtl w:val="0"/>
        </w:rPr>
        <w:t xml:space="preserve">1</w:t>
      </w:r>
      <w:r w:rsidDel="00000000" w:rsidR="00000000" w:rsidRPr="00000000">
        <w:rPr>
          <w:rFonts w:ascii="Google Sans Text" w:cs="Google Sans Text" w:eastAsia="Google Sans Text" w:hAnsi="Google Sans Text"/>
          <w:color w:val="1f1f1f"/>
          <w:rtl w:val="0"/>
        </w:rPr>
        <w:t xml:space="preserve"> He theorized that an overall growth in population and purchasing power in 19th-century India created a vastly expanded domestic market. According to Morris, this expanded market was capable of absorbing the massive influx of British textiles without causing a commensurate decline in domestic artisanal production.</w:t>
      </w:r>
      <w:r w:rsidDel="00000000" w:rsidR="00000000" w:rsidRPr="00000000">
        <w:rPr>
          <w:rFonts w:ascii="Google Sans Text" w:cs="Google Sans Text" w:eastAsia="Google Sans Text" w:hAnsi="Google Sans Text"/>
          <w:color w:val="444746"/>
          <w:sz w:val="24"/>
          <w:szCs w:val="24"/>
          <w:vertAlign w:val="superscript"/>
          <w:rtl w:val="0"/>
        </w:rPr>
        <w:t xml:space="preserve">35</w:t>
      </w:r>
      <w:r w:rsidDel="00000000" w:rsidR="00000000" w:rsidRPr="00000000">
        <w:rPr>
          <w:rFonts w:ascii="Google Sans Text" w:cs="Google Sans Text" w:eastAsia="Google Sans Text" w:hAnsi="Google Sans Text"/>
          <w:color w:val="1f1f1f"/>
          <w:rtl w:val="0"/>
        </w:rPr>
        <w:t xml:space="preserve"> Furthermore, Morris hypothesized that the import of cheaper, factory-spun British yarn actually benefited Indian handloom weavers by significantly lowering their input costs, thereby allowing them to remain competitive.</w:t>
      </w:r>
      <w:r w:rsidDel="00000000" w:rsidR="00000000" w:rsidRPr="00000000">
        <w:rPr>
          <w:rFonts w:ascii="Google Sans Text" w:cs="Google Sans Text" w:eastAsia="Google Sans Text" w:hAnsi="Google Sans Text"/>
          <w:color w:val="444746"/>
          <w:sz w:val="24"/>
          <w:szCs w:val="24"/>
          <w:vertAlign w:val="superscript"/>
          <w:rtl w:val="0"/>
        </w:rPr>
        <w:t xml:space="preserve">36</w:t>
      </w:r>
      <w:r w:rsidDel="00000000" w:rsidR="00000000" w:rsidRPr="00000000">
        <w:rPr>
          <w:rFonts w:ascii="Google Sans Text" w:cs="Google Sans Text" w:eastAsia="Google Sans Text" w:hAnsi="Google Sans Text"/>
          <w:color w:val="1f1f1f"/>
          <w:rtl w:val="0"/>
        </w:rPr>
        <w:t xml:space="preserve"> Another revisionist, Daniel Thorner, utilized census data on the Manufacturing Work Force to argue that relative de-industrialization was not statistically supported in the late 19th and early 20th centuries.</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However, the nationalist rebuttal, led by Bipan Chandra and supported by scholars like Toru Matsui and Tapan Raychaudhuri, systematically dismantled the revisionist claims. Chandra argued that Morris relied on theoretical conjecture rather than empirical reality.</w:t>
      </w:r>
      <w:r w:rsidDel="00000000" w:rsidR="00000000" w:rsidRPr="00000000">
        <w:rPr>
          <w:rFonts w:ascii="Google Sans Text" w:cs="Google Sans Text" w:eastAsia="Google Sans Text" w:hAnsi="Google Sans Text"/>
          <w:color w:val="444746"/>
          <w:sz w:val="24"/>
          <w:szCs w:val="24"/>
          <w:vertAlign w:val="superscript"/>
          <w:rtl w:val="0"/>
        </w:rPr>
        <w:t xml:space="preserve">36</w:t>
      </w:r>
      <w:r w:rsidDel="00000000" w:rsidR="00000000" w:rsidRPr="00000000">
        <w:rPr>
          <w:rFonts w:ascii="Google Sans Text" w:cs="Google Sans Text" w:eastAsia="Google Sans Text" w:hAnsi="Google Sans Text"/>
          <w:color w:val="1f1f1f"/>
          <w:rtl w:val="0"/>
        </w:rPr>
        <w:t xml:space="preserve"> Utilizing exhaustive data from famine reports, eye-witness accounts, and government inquiries, Chandra demonstrated that the purchasing power and per capita income of the Indian populace had stagnated or declined, contradicting the assumption of a vastly expanding domestic market.</w:t>
      </w:r>
      <w:r w:rsidDel="00000000" w:rsidR="00000000" w:rsidRPr="00000000">
        <w:rPr>
          <w:rFonts w:ascii="Google Sans Text" w:cs="Google Sans Text" w:eastAsia="Google Sans Text" w:hAnsi="Google Sans Text"/>
          <w:color w:val="444746"/>
          <w:sz w:val="24"/>
          <w:szCs w:val="24"/>
          <w:vertAlign w:val="superscript"/>
          <w:rtl w:val="0"/>
        </w:rPr>
        <w:t xml:space="preserve">36</w:t>
      </w:r>
      <w:r w:rsidDel="00000000" w:rsidR="00000000" w:rsidRPr="00000000">
        <w:rPr>
          <w:rFonts w:ascii="Google Sans Text" w:cs="Google Sans Text" w:eastAsia="Google Sans Text" w:hAnsi="Google Sans Text"/>
          <w:color w:val="1f1f1f"/>
          <w:rtl w:val="0"/>
        </w:rPr>
        <w:t xml:space="preserve"> Crucially, Chandra provided statistical evidence revealing that the volume of imported woven cloth increased exponentially faster than the volume of imported yarn, proving that British imports were substituting and displacing Indian weavers, rather than merely supplying them with cheaper inputs.</w:t>
      </w:r>
      <w:r w:rsidDel="00000000" w:rsidR="00000000" w:rsidRPr="00000000">
        <w:rPr>
          <w:rFonts w:ascii="Google Sans Text" w:cs="Google Sans Text" w:eastAsia="Google Sans Text" w:hAnsi="Google Sans Text"/>
          <w:color w:val="444746"/>
          <w:sz w:val="24"/>
          <w:szCs w:val="24"/>
          <w:vertAlign w:val="superscript"/>
          <w:rtl w:val="0"/>
        </w:rPr>
        <w:t xml:space="preserve">36</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development of the Indian railway network, often lauded as a modernizing force, was intrinsically tied to this process of economic extraction. The colonial administration's motives for railway expansion were hierarchically ordered: military strategic dominance, commercial extraction, and administrative efficiency.</w:t>
      </w:r>
      <w:r w:rsidDel="00000000" w:rsidR="00000000" w:rsidRPr="00000000">
        <w:rPr>
          <w:rFonts w:ascii="Google Sans Text" w:cs="Google Sans Text" w:eastAsia="Google Sans Text" w:hAnsi="Google Sans Text"/>
          <w:color w:val="444746"/>
          <w:sz w:val="24"/>
          <w:szCs w:val="24"/>
          <w:vertAlign w:val="superscript"/>
          <w:rtl w:val="0"/>
        </w:rPr>
        <w:t xml:space="preserve">38</w:t>
      </w:r>
      <w:r w:rsidDel="00000000" w:rsidR="00000000" w:rsidRPr="00000000">
        <w:rPr>
          <w:rFonts w:ascii="Google Sans Text" w:cs="Google Sans Text" w:eastAsia="Google Sans Text" w:hAnsi="Google Sans Text"/>
          <w:color w:val="1f1f1f"/>
          <w:rtl w:val="0"/>
        </w:rPr>
        <w:t xml:space="preserve"> The network was meticulously designed to connect raw material producing hinterlands to major ports (Bombay, Calcutta, Madras) for export to British factories, and simultaneously to facilitate the deep inland penetration of British manufactured goods.</w:t>
      </w:r>
      <w:r w:rsidDel="00000000" w:rsidR="00000000" w:rsidRPr="00000000">
        <w:rPr>
          <w:rFonts w:ascii="Google Sans Text" w:cs="Google Sans Text" w:eastAsia="Google Sans Text" w:hAnsi="Google Sans Text"/>
          <w:color w:val="444746"/>
          <w:sz w:val="24"/>
          <w:szCs w:val="24"/>
          <w:vertAlign w:val="superscript"/>
          <w:rtl w:val="0"/>
        </w:rPr>
        <w:t xml:space="preserve">39</w:t>
      </w:r>
      <w:r w:rsidDel="00000000" w:rsidR="00000000" w:rsidRPr="00000000">
        <w:rPr>
          <w:rFonts w:ascii="Google Sans Text" w:cs="Google Sans Text" w:eastAsia="Google Sans Text" w:hAnsi="Google Sans Text"/>
          <w:color w:val="1f1f1f"/>
          <w:rtl w:val="0"/>
        </w:rPr>
        <w:t xml:space="preserve"> The construction was financed by British capital, enticed by government guarantees of a 5% return on investment, which led to exorbitant construction costs and massive financial drains on the Indian exchequer.</w:t>
      </w:r>
      <w:r w:rsidDel="00000000" w:rsidR="00000000" w:rsidRPr="00000000">
        <w:rPr>
          <w:rFonts w:ascii="Google Sans Text" w:cs="Google Sans Text" w:eastAsia="Google Sans Text" w:hAnsi="Google Sans Text"/>
          <w:color w:val="444746"/>
          <w:sz w:val="24"/>
          <w:szCs w:val="24"/>
          <w:vertAlign w:val="superscript"/>
          <w:rtl w:val="0"/>
        </w:rPr>
        <w:t xml:space="preserve">39</w:t>
      </w:r>
      <w:r w:rsidDel="00000000" w:rsidR="00000000" w:rsidRPr="00000000">
        <w:rPr>
          <w:rFonts w:ascii="Google Sans Text" w:cs="Google Sans Text" w:eastAsia="Google Sans Text" w:hAnsi="Google Sans Text"/>
          <w:color w:val="1f1f1f"/>
          <w:rtl w:val="0"/>
        </w:rPr>
        <w:t xml:space="preserve"> Consequently, rather than acting as a catalyst for domestic industrial integration, the railways accelerated the demise of local handicrafts and facilitated the commercialization of agriculture geared toward imperial needs.</w:t>
      </w:r>
      <w:r w:rsidDel="00000000" w:rsidR="00000000" w:rsidRPr="00000000">
        <w:rPr>
          <w:rFonts w:ascii="Google Sans Text" w:cs="Google Sans Text" w:eastAsia="Google Sans Text" w:hAnsi="Google Sans Text"/>
          <w:color w:val="444746"/>
          <w:sz w:val="24"/>
          <w:szCs w:val="24"/>
          <w:vertAlign w:val="superscript"/>
          <w:rtl w:val="0"/>
        </w:rPr>
        <w:t xml:space="preserve">40</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reluctant shift in colonial industrial policy occurred during the interwar period (1919-1939). Faced with severe fiscal deficits post-World War I and mounting political pressure from the nationalist movement, the British government appointed the Indian Fiscal Commission in 1921 to evaluate tariff policy.</w:t>
      </w:r>
      <w:r w:rsidDel="00000000" w:rsidR="00000000" w:rsidRPr="00000000">
        <w:rPr>
          <w:rFonts w:ascii="Google Sans Text" w:cs="Google Sans Text" w:eastAsia="Google Sans Text" w:hAnsi="Google Sans Text"/>
          <w:color w:val="444746"/>
          <w:sz w:val="24"/>
          <w:szCs w:val="24"/>
          <w:vertAlign w:val="superscript"/>
          <w:rtl w:val="0"/>
        </w:rPr>
        <w:t xml:space="preserve">42</w:t>
      </w:r>
      <w:r w:rsidDel="00000000" w:rsidR="00000000" w:rsidRPr="00000000">
        <w:rPr>
          <w:rFonts w:ascii="Google Sans Text" w:cs="Google Sans Text" w:eastAsia="Google Sans Text" w:hAnsi="Google Sans Text"/>
          <w:color w:val="1f1f1f"/>
          <w:rtl w:val="0"/>
        </w:rPr>
        <w:t xml:space="preserve"> In 1922, the Commission recommended a transition from free trade to a policy of "Discriminating Protection".</w:t>
      </w:r>
      <w:r w:rsidDel="00000000" w:rsidR="00000000" w:rsidRPr="00000000">
        <w:rPr>
          <w:rFonts w:ascii="Google Sans Text" w:cs="Google Sans Text" w:eastAsia="Google Sans Text" w:hAnsi="Google Sans Text"/>
          <w:color w:val="444746"/>
          <w:sz w:val="24"/>
          <w:szCs w:val="24"/>
          <w:vertAlign w:val="superscript"/>
          <w:rtl w:val="0"/>
        </w:rPr>
        <w:t xml:space="preserve">44</w:t>
      </w:r>
      <w:r w:rsidDel="00000000" w:rsidR="00000000" w:rsidRPr="00000000">
        <w:rPr>
          <w:rFonts w:ascii="Google Sans Text" w:cs="Google Sans Text" w:eastAsia="Google Sans Text" w:hAnsi="Google Sans Text"/>
          <w:color w:val="1f1f1f"/>
          <w:rtl w:val="0"/>
        </w:rPr>
        <w:t xml:space="preserve"> Implemented in 1923, this policy stipulated that tariff protection would not be granted indiscriminately. Instead, an industry seeking protection was subjected to the rigid "Triple Formula":</w:t>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color w:val="1f1f1f"/>
          <w:rtl w:val="0"/>
        </w:rPr>
        <w:t xml:space="preserve">The industry must possess natural advantages, such as an abundant supply of raw materials, cheap labor, adequate power, and a substantial domestic market.</w:t>
      </w:r>
    </w:p>
    <w:p w:rsidR="00000000" w:rsidDel="00000000" w:rsidP="00000000" w:rsidRDefault="00000000" w:rsidRPr="00000000" w14:paraId="00000061">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color w:val="1f1f1f"/>
          <w:rtl w:val="0"/>
        </w:rPr>
        <w:t xml:space="preserve">The industry must demonstrate that it could not develop or survive without government protection.</w:t>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color w:val="1f1f1f"/>
          <w:rtl w:val="0"/>
        </w:rPr>
        <w:t xml:space="preserve">The industry must prove that it would eventually be capable of facing international competition independently without prolonged state support.</w:t>
      </w:r>
      <w:r w:rsidDel="00000000" w:rsidR="00000000" w:rsidRPr="00000000">
        <w:rPr>
          <w:rFonts w:ascii="Google Sans Text" w:cs="Google Sans Text" w:eastAsia="Google Sans Text" w:hAnsi="Google Sans Text"/>
          <w:color w:val="444746"/>
          <w:sz w:val="24"/>
          <w:szCs w:val="24"/>
          <w:vertAlign w:val="superscript"/>
          <w:rtl w:val="0"/>
        </w:rPr>
        <w:t xml:space="preserve">45</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While highly restrictive, the policy of Discriminating Protection facilitated the foundational growth of critical indigenous industries, including steel (Tata Iron and Steel Company), sugar, cotton textiles, and cement, marking the genesis of the modern Indian industrial bourgeoisie.</w:t>
      </w:r>
      <w:r w:rsidDel="00000000" w:rsidR="00000000" w:rsidRPr="00000000">
        <w:rPr>
          <w:rFonts w:ascii="Google Sans Text" w:cs="Google Sans Text" w:eastAsia="Google Sans Text" w:hAnsi="Google Sans Text"/>
          <w:color w:val="444746"/>
          <w:sz w:val="24"/>
          <w:szCs w:val="24"/>
          <w:vertAlign w:val="superscript"/>
          <w:rtl w:val="0"/>
        </w:rPr>
        <w:t xml:space="preserve">43</w:t>
      </w:r>
      <w:r w:rsidDel="00000000" w:rsidR="00000000" w:rsidRPr="00000000">
        <w:rPr>
          <w:rFonts w:ascii="Google Sans Text" w:cs="Google Sans Text" w:eastAsia="Google Sans Text" w:hAnsi="Google Sans Text"/>
          <w:color w:val="1f1f1f"/>
          <w:rtl w:val="0"/>
        </w:rPr>
        <w:t xml:space="preserve"> The expansion of factory-based industry invariably led to the concentration of labor and the emergence of severe industrial disputes. To regulate this fraught environment, the Trade Unions Act of 1926 was enacted. This landmark legislation provided statutory recognition to registered trade unions, established procedures for governance (requiring the definition of union objectives and fund utilization), and crucially granted union leaders immunity from civil and criminal prosecution for legitimate collective bargaining activities.</w:t>
      </w:r>
      <w:r w:rsidDel="00000000" w:rsidR="00000000" w:rsidRPr="00000000">
        <w:rPr>
          <w:rFonts w:ascii="Google Sans Text" w:cs="Google Sans Text" w:eastAsia="Google Sans Text" w:hAnsi="Google Sans Text"/>
          <w:color w:val="444746"/>
          <w:sz w:val="24"/>
          <w:szCs w:val="24"/>
          <w:vertAlign w:val="superscript"/>
          <w:rtl w:val="0"/>
        </w:rPr>
        <w:t xml:space="preserve">46</w:t>
      </w:r>
      <w:r w:rsidDel="00000000" w:rsidR="00000000" w:rsidRPr="00000000">
        <w:rPr>
          <w:rFonts w:ascii="Google Sans Text" w:cs="Google Sans Text" w:eastAsia="Google Sans Text" w:hAnsi="Google Sans Text"/>
          <w:color w:val="1f1f1f"/>
          <w:rtl w:val="0"/>
        </w:rPr>
        <w:t xml:space="preserve"> To further investigate the dismal working conditions across plantations and factories, the government established the Royal Commission on Labour (the Whitley Commission) in 1929, which ultimately reported on wage standardization and the urgent need for systematic labor statistics.</w:t>
      </w:r>
      <w:r w:rsidDel="00000000" w:rsidR="00000000" w:rsidRPr="00000000">
        <w:rPr>
          <w:rFonts w:ascii="Google Sans Text" w:cs="Google Sans Text" w:eastAsia="Google Sans Text" w:hAnsi="Google Sans Text"/>
          <w:color w:val="444746"/>
          <w:sz w:val="24"/>
          <w:szCs w:val="24"/>
          <w:vertAlign w:val="superscript"/>
          <w:rtl w:val="0"/>
        </w:rPr>
        <w:t xml:space="preserve">48</w:t>
      </w:r>
    </w:p>
    <w:p w:rsidR="00000000" w:rsidDel="00000000" w:rsidP="00000000" w:rsidRDefault="00000000" w:rsidRPr="00000000" w14:paraId="00000064">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Economy and State in the Imperial Context: The Drain of Wealth</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overarching paradigm that governed the colonial economy and served as the intellectual foundation of the Indian independence movement was the "Drain of Wealth" theory. Propounded forcefully by Dadabhai Naoroji in 1867, and extensively detailed in his 1901 magnum opus </w:t>
      </w:r>
      <w:r w:rsidDel="00000000" w:rsidR="00000000" w:rsidRPr="00000000">
        <w:rPr>
          <w:rFonts w:ascii="Google Sans Text" w:cs="Google Sans Text" w:eastAsia="Google Sans Text" w:hAnsi="Google Sans Text"/>
          <w:i w:val="1"/>
          <w:iCs w:val="1"/>
          <w:color w:val="1f1f1f"/>
          <w:rtl w:val="0"/>
        </w:rPr>
        <w:t xml:space="preserve">Poverty and Un-British Rule in India</w:t>
      </w:r>
      <w:r w:rsidDel="00000000" w:rsidR="00000000" w:rsidRPr="00000000">
        <w:rPr>
          <w:rFonts w:ascii="Google Sans Text" w:cs="Google Sans Text" w:eastAsia="Google Sans Text" w:hAnsi="Google Sans Text"/>
          <w:color w:val="1f1f1f"/>
          <w:rtl w:val="0"/>
        </w:rPr>
        <w:t xml:space="preserve">, the theory mathematically articulated how the British administrative and economic structure systematically siphoned capital out of India without any reciprocal material or commercial return.</w:t>
      </w:r>
      <w:r w:rsidDel="00000000" w:rsidR="00000000" w:rsidRPr="00000000">
        <w:rPr>
          <w:rFonts w:ascii="Google Sans Text" w:cs="Google Sans Text" w:eastAsia="Google Sans Text" w:hAnsi="Google Sans Text"/>
          <w:color w:val="444746"/>
          <w:sz w:val="24"/>
          <w:szCs w:val="24"/>
          <w:vertAlign w:val="superscript"/>
          <w:rtl w:val="0"/>
        </w:rPr>
        <w:t xml:space="preserve">50</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mechanics of this economic drain were sophisticated and primarily executed through India's international trade account. Unlike normal sovereign nations where an export surplus translates into domestic capital accumulation and investment, India's chronic export surplus was expropriated by the colonial state.</w:t>
      </w:r>
      <w:r w:rsidDel="00000000" w:rsidR="00000000" w:rsidRPr="00000000">
        <w:rPr>
          <w:rFonts w:ascii="Google Sans Text" w:cs="Google Sans Text" w:eastAsia="Google Sans Text" w:hAnsi="Google Sans Text"/>
          <w:color w:val="444746"/>
          <w:sz w:val="24"/>
          <w:szCs w:val="24"/>
          <w:vertAlign w:val="superscript"/>
          <w:rtl w:val="0"/>
        </w:rPr>
        <w:t xml:space="preserve">51</w:t>
      </w:r>
      <w:r w:rsidDel="00000000" w:rsidR="00000000" w:rsidRPr="00000000">
        <w:rPr>
          <w:rFonts w:ascii="Google Sans Text" w:cs="Google Sans Text" w:eastAsia="Google Sans Text" w:hAnsi="Google Sans Text"/>
          <w:color w:val="1f1f1f"/>
          <w:rtl w:val="0"/>
        </w:rPr>
        <w:t xml:space="preserve"> The wealth was siphoned through a mechanism known as "Home Charges," which represented the expenditures incurred by the Secretary of State for India in London.</w:t>
      </w:r>
      <w:r w:rsidDel="00000000" w:rsidR="00000000" w:rsidRPr="00000000">
        <w:rPr>
          <w:rFonts w:ascii="Google Sans Text" w:cs="Google Sans Text" w:eastAsia="Google Sans Text" w:hAnsi="Google Sans Text"/>
          <w:color w:val="444746"/>
          <w:sz w:val="24"/>
          <w:szCs w:val="24"/>
          <w:vertAlign w:val="superscript"/>
          <w:rtl w:val="0"/>
        </w:rPr>
        <w:t xml:space="preserve">53</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primary components of the Home Charges included:</w:t>
      </w:r>
    </w:p>
    <w:p w:rsidR="00000000" w:rsidDel="00000000" w:rsidP="00000000" w:rsidRDefault="00000000" w:rsidRPr="00000000" w14:paraId="00000068">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Interest on Public Debt:</w:t>
      </w:r>
      <w:r w:rsidDel="00000000" w:rsidR="00000000" w:rsidRPr="00000000">
        <w:rPr>
          <w:rFonts w:ascii="Google Sans Text" w:cs="Google Sans Text" w:eastAsia="Google Sans Text" w:hAnsi="Google Sans Text"/>
          <w:color w:val="1f1f1f"/>
          <w:rtl w:val="0"/>
        </w:rPr>
        <w:t xml:space="preserve"> India was forced to bear the massive financial burden of debts raised in England. Paradoxically, these debts were often incurred to finance the suppression of Indian rebellions (such as the 1857 uprising) or to fund the construction of the imperial railway network.</w:t>
      </w:r>
      <w:r w:rsidDel="00000000" w:rsidR="00000000" w:rsidRPr="00000000">
        <w:rPr>
          <w:rFonts w:ascii="Google Sans Text" w:cs="Google Sans Text" w:eastAsia="Google Sans Text" w:hAnsi="Google Sans Text"/>
          <w:color w:val="444746"/>
          <w:sz w:val="24"/>
          <w:szCs w:val="24"/>
          <w:vertAlign w:val="superscript"/>
          <w:rtl w:val="0"/>
        </w:rPr>
        <w:t xml:space="preserve">51</w:t>
      </w:r>
    </w:p>
    <w:p w:rsidR="00000000" w:rsidDel="00000000" w:rsidP="00000000" w:rsidRDefault="00000000" w:rsidRPr="00000000" w14:paraId="00000069">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Pensions and Allowances:</w:t>
      </w:r>
      <w:r w:rsidDel="00000000" w:rsidR="00000000" w:rsidRPr="00000000">
        <w:rPr>
          <w:rFonts w:ascii="Google Sans Text" w:cs="Google Sans Text" w:eastAsia="Google Sans Text" w:hAnsi="Google Sans Text"/>
          <w:color w:val="1f1f1f"/>
          <w:rtl w:val="0"/>
        </w:rPr>
        <w:t xml:space="preserve"> The salaries, furlough allowances, and pensions of British civil servants and military officers who had served in India but retired to Britain were paid entirely from the Indian exchequer.</w:t>
      </w:r>
      <w:r w:rsidDel="00000000" w:rsidR="00000000" w:rsidRPr="00000000">
        <w:rPr>
          <w:rFonts w:ascii="Google Sans Text" w:cs="Google Sans Text" w:eastAsia="Google Sans Text" w:hAnsi="Google Sans Text"/>
          <w:color w:val="444746"/>
          <w:sz w:val="24"/>
          <w:szCs w:val="24"/>
          <w:vertAlign w:val="superscript"/>
          <w:rtl w:val="0"/>
        </w:rPr>
        <w:t xml:space="preserve">54</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Military and Administrative Stores:</w:t>
      </w:r>
      <w:r w:rsidDel="00000000" w:rsidR="00000000" w:rsidRPr="00000000">
        <w:rPr>
          <w:rFonts w:ascii="Google Sans Text" w:cs="Google Sans Text" w:eastAsia="Google Sans Text" w:hAnsi="Google Sans Text"/>
          <w:color w:val="1f1f1f"/>
          <w:rtl w:val="0"/>
        </w:rPr>
        <w:t xml:space="preserve"> The mandatory purchase of arms, ammunition, railway equipment, and administrative supplies from British manufacturers, often at inflated prices, constituted a significant outward flow of capital.</w:t>
      </w:r>
      <w:r w:rsidDel="00000000" w:rsidR="00000000" w:rsidRPr="00000000">
        <w:rPr>
          <w:rFonts w:ascii="Google Sans Text" w:cs="Google Sans Text" w:eastAsia="Google Sans Text" w:hAnsi="Google Sans Text"/>
          <w:color w:val="444746"/>
          <w:sz w:val="24"/>
          <w:szCs w:val="24"/>
          <w:vertAlign w:val="superscript"/>
          <w:rtl w:val="0"/>
        </w:rPr>
        <w:t xml:space="preserve">54</w:t>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Administrative Costs:</w:t>
      </w:r>
      <w:r w:rsidDel="00000000" w:rsidR="00000000" w:rsidRPr="00000000">
        <w:rPr>
          <w:rFonts w:ascii="Google Sans Text" w:cs="Google Sans Text" w:eastAsia="Google Sans Text" w:hAnsi="Google Sans Text"/>
          <w:color w:val="1f1f1f"/>
          <w:rtl w:val="0"/>
        </w:rPr>
        <w:t xml:space="preserve"> The entire cost of maintaining the India Office establishment in London, including the salary of the Secretary of State, was billed to India.</w:t>
      </w:r>
      <w:r w:rsidDel="00000000" w:rsidR="00000000" w:rsidRPr="00000000">
        <w:rPr>
          <w:rFonts w:ascii="Google Sans Text" w:cs="Google Sans Text" w:eastAsia="Google Sans Text" w:hAnsi="Google Sans Text"/>
          <w:color w:val="444746"/>
          <w:sz w:val="24"/>
          <w:szCs w:val="24"/>
          <w:vertAlign w:val="superscript"/>
          <w:rtl w:val="0"/>
        </w:rPr>
        <w:t xml:space="preserve">54</w:t>
      </w:r>
    </w:p>
    <w:p w:rsidR="00000000" w:rsidDel="00000000" w:rsidP="00000000" w:rsidRDefault="00000000" w:rsidRPr="00000000" w14:paraId="0000006C">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Dividends:</w:t>
      </w:r>
      <w:r w:rsidDel="00000000" w:rsidR="00000000" w:rsidRPr="00000000">
        <w:rPr>
          <w:rFonts w:ascii="Google Sans Text" w:cs="Google Sans Text" w:eastAsia="Google Sans Text" w:hAnsi="Google Sans Text"/>
          <w:color w:val="1f1f1f"/>
          <w:rtl w:val="0"/>
        </w:rPr>
        <w:t xml:space="preserve"> Guaranteed dividend payments to the shareholders of the East India Company and British railway investors.</w:t>
      </w:r>
      <w:r w:rsidDel="00000000" w:rsidR="00000000" w:rsidRPr="00000000">
        <w:rPr>
          <w:rFonts w:ascii="Google Sans Text" w:cs="Google Sans Text" w:eastAsia="Google Sans Text" w:hAnsi="Google Sans Text"/>
          <w:color w:val="444746"/>
          <w:sz w:val="24"/>
          <w:szCs w:val="24"/>
          <w:vertAlign w:val="superscript"/>
          <w:rtl w:val="0"/>
        </w:rPr>
        <w:t xml:space="preserve">54</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actual mechanism for transferring this wealth was executed through the sale of "Council Bills." Foreign purchasers of Indian exports would buy Council Bills in London using pounds sterling. These bills were then presented in India, where the colonial government paid the local exporters using Indian rupees generated from heavily regressive domestic taxation (primarily land revenue).</w:t>
      </w:r>
      <w:r w:rsidDel="00000000" w:rsidR="00000000" w:rsidRPr="00000000">
        <w:rPr>
          <w:rFonts w:ascii="Google Sans Text" w:cs="Google Sans Text" w:eastAsia="Google Sans Text" w:hAnsi="Google Sans Text"/>
          <w:color w:val="444746"/>
          <w:sz w:val="24"/>
          <w:szCs w:val="24"/>
          <w:vertAlign w:val="superscript"/>
          <w:rtl w:val="0"/>
        </w:rPr>
        <w:t xml:space="preserve">52</w:t>
      </w:r>
      <w:r w:rsidDel="00000000" w:rsidR="00000000" w:rsidRPr="00000000">
        <w:rPr>
          <w:rFonts w:ascii="Google Sans Text" w:cs="Google Sans Text" w:eastAsia="Google Sans Text" w:hAnsi="Google Sans Text"/>
          <w:color w:val="1f1f1f"/>
          <w:rtl w:val="0"/>
        </w:rPr>
        <w:t xml:space="preserve"> Consequently, India's own tax revenues were utilized to finance its exports, while the sterling equivalent remained in London to cover the Home Charges.</w:t>
      </w:r>
      <w:r w:rsidDel="00000000" w:rsidR="00000000" w:rsidRPr="00000000">
        <w:rPr>
          <w:rFonts w:ascii="Google Sans Text" w:cs="Google Sans Text" w:eastAsia="Google Sans Text" w:hAnsi="Google Sans Text"/>
          <w:color w:val="444746"/>
          <w:sz w:val="24"/>
          <w:szCs w:val="24"/>
          <w:vertAlign w:val="superscript"/>
          <w:rtl w:val="0"/>
        </w:rPr>
        <w:t xml:space="preserve">56</w:t>
      </w:r>
      <w:r w:rsidDel="00000000" w:rsidR="00000000" w:rsidRPr="00000000">
        <w:rPr>
          <w:rFonts w:ascii="Google Sans Text" w:cs="Google Sans Text" w:eastAsia="Google Sans Text" w:hAnsi="Google Sans Text"/>
          <w:color w:val="1f1f1f"/>
          <w:rtl w:val="0"/>
        </w:rPr>
        <w:t xml:space="preserve"> This systematic decapitalization severely stunted domestic capital formation, thwarted industrial breakthrough, and ensured that the Indian economy remained chronically impoverished throughout the imperial era.</w:t>
      </w:r>
    </w:p>
    <w:p w:rsidR="00000000" w:rsidDel="00000000" w:rsidP="00000000" w:rsidRDefault="00000000" w:rsidRPr="00000000" w14:paraId="0000006E">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New Economic Policy and Contemporary Macroeconomic Architecture</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structural deformities inherited from the colonial era were exacerbated by post-independence import-substitution policies, culminating in a severe balance of payments crisis in 1991. In response, India initiated a paradigm shift with the New Economic Policy (NEP) of 1991, centered on the triad of Liberalization, Privatization, and Globalization (LPG).</w:t>
      </w:r>
      <w:r w:rsidDel="00000000" w:rsidR="00000000" w:rsidRPr="00000000">
        <w:rPr>
          <w:rFonts w:ascii="Google Sans Text" w:cs="Google Sans Text" w:eastAsia="Google Sans Text" w:hAnsi="Google Sans Text"/>
          <w:color w:val="444746"/>
          <w:sz w:val="24"/>
          <w:szCs w:val="24"/>
          <w:vertAlign w:val="superscript"/>
          <w:rtl w:val="0"/>
        </w:rPr>
        <w:t xml:space="preserve">57</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Liberalization sought to dismantle the restrictive regulatory apparatus. The seminal Industrial Policy of 1991 abolished the pervasive "License Raj," exempting all but a few strategic industries from licensing requirements.</w:t>
      </w:r>
      <w:r w:rsidDel="00000000" w:rsidR="00000000" w:rsidRPr="00000000">
        <w:rPr>
          <w:rFonts w:ascii="Google Sans Text" w:cs="Google Sans Text" w:eastAsia="Google Sans Text" w:hAnsi="Google Sans Text"/>
          <w:color w:val="444746"/>
          <w:sz w:val="24"/>
          <w:szCs w:val="24"/>
          <w:vertAlign w:val="superscript"/>
          <w:rtl w:val="0"/>
        </w:rPr>
        <w:t xml:space="preserve">57</w:t>
      </w:r>
      <w:r w:rsidDel="00000000" w:rsidR="00000000" w:rsidRPr="00000000">
        <w:rPr>
          <w:rFonts w:ascii="Google Sans Text" w:cs="Google Sans Text" w:eastAsia="Google Sans Text" w:hAnsi="Google Sans Text"/>
          <w:color w:val="1f1f1f"/>
          <w:rtl w:val="0"/>
        </w:rPr>
        <w:t xml:space="preserve"> It eliminated the constraints imposed by the Monopolies and Restrictive Trade Practices (MRTP) Act, granting firms the autonomy to expand capacity.</w:t>
      </w:r>
      <w:r w:rsidDel="00000000" w:rsidR="00000000" w:rsidRPr="00000000">
        <w:rPr>
          <w:rFonts w:ascii="Google Sans Text" w:cs="Google Sans Text" w:eastAsia="Google Sans Text" w:hAnsi="Google Sans Text"/>
          <w:color w:val="444746"/>
          <w:sz w:val="24"/>
          <w:szCs w:val="24"/>
          <w:vertAlign w:val="superscript"/>
          <w:rtl w:val="0"/>
        </w:rPr>
        <w:t xml:space="preserve">58</w:t>
      </w:r>
      <w:r w:rsidDel="00000000" w:rsidR="00000000" w:rsidRPr="00000000">
        <w:rPr>
          <w:rFonts w:ascii="Google Sans Text" w:cs="Google Sans Text" w:eastAsia="Google Sans Text" w:hAnsi="Google Sans Text"/>
          <w:color w:val="1f1f1f"/>
          <w:rtl w:val="0"/>
        </w:rPr>
        <w:t xml:space="preserve"> Privatization involved the aggressive de-reservation of sectors previously monopolized by Public Sector Undertakings (PSUs) and the strategic disinvestment of government equity.</w:t>
      </w:r>
      <w:r w:rsidDel="00000000" w:rsidR="00000000" w:rsidRPr="00000000">
        <w:rPr>
          <w:rFonts w:ascii="Google Sans Text" w:cs="Google Sans Text" w:eastAsia="Google Sans Text" w:hAnsi="Google Sans Text"/>
          <w:color w:val="444746"/>
          <w:sz w:val="24"/>
          <w:szCs w:val="24"/>
          <w:vertAlign w:val="superscript"/>
          <w:rtl w:val="0"/>
        </w:rPr>
        <w:t xml:space="preserve">57</w:t>
      </w:r>
      <w:r w:rsidDel="00000000" w:rsidR="00000000" w:rsidRPr="00000000">
        <w:rPr>
          <w:rFonts w:ascii="Google Sans Text" w:cs="Google Sans Text" w:eastAsia="Google Sans Text" w:hAnsi="Google Sans Text"/>
          <w:color w:val="1f1f1f"/>
          <w:rtl w:val="0"/>
        </w:rPr>
        <w:t xml:space="preserve"> Globalization systematically integrated India into the world economy by dismantling import quotas, drastically reducing tariff barriers, and permitting automatic approval for Foreign Direct Investment (FDI) up to 51% in high-priority industries.</w:t>
      </w:r>
      <w:r w:rsidDel="00000000" w:rsidR="00000000" w:rsidRPr="00000000">
        <w:rPr>
          <w:rFonts w:ascii="Google Sans Text" w:cs="Google Sans Text" w:eastAsia="Google Sans Text" w:hAnsi="Google Sans Text"/>
          <w:color w:val="444746"/>
          <w:sz w:val="24"/>
          <w:szCs w:val="24"/>
          <w:vertAlign w:val="superscript"/>
          <w:rtl w:val="0"/>
        </w:rPr>
        <w:t xml:space="preserve">57</w:t>
      </w:r>
      <w:r w:rsidDel="00000000" w:rsidR="00000000" w:rsidRPr="00000000">
        <w:rPr>
          <w:rFonts w:ascii="Google Sans Text" w:cs="Google Sans Text" w:eastAsia="Google Sans Text" w:hAnsi="Google Sans Text"/>
          <w:color w:val="1f1f1f"/>
          <w:rtl w:val="0"/>
        </w:rPr>
        <w:t xml:space="preserve"> Simultaneously, the financial sector underwent profound transformation under the Narasimham Committee recommendations, leading to the deregulation of interest rates, reductions in the Cash Reserve Ratio (CRR) and Statutory Liquidity Ratio (SLR), and the establishment of the Securities and Exchange Board of India (SEBI) as a statutory market regulator.</w:t>
      </w:r>
      <w:r w:rsidDel="00000000" w:rsidR="00000000" w:rsidRPr="00000000">
        <w:rPr>
          <w:rFonts w:ascii="Google Sans Text" w:cs="Google Sans Text" w:eastAsia="Google Sans Text" w:hAnsi="Google Sans Text"/>
          <w:color w:val="444746"/>
          <w:sz w:val="24"/>
          <w:szCs w:val="24"/>
          <w:vertAlign w:val="superscript"/>
          <w:rtl w:val="0"/>
        </w:rPr>
        <w:t xml:space="preserve">57</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Parallel to industrial liberalization, the state recognized the necessity of addressing rural destitution through massive employment interventions. Early models like the asset-distribution-focused Integrated Rural Development Programme (IRDP) often faltered due to systemic leakages.</w:t>
      </w:r>
      <w:r w:rsidDel="00000000" w:rsidR="00000000" w:rsidRPr="00000000">
        <w:rPr>
          <w:rFonts w:ascii="Google Sans Text" w:cs="Google Sans Text" w:eastAsia="Google Sans Text" w:hAnsi="Google Sans Text"/>
          <w:color w:val="444746"/>
          <w:sz w:val="24"/>
          <w:szCs w:val="24"/>
          <w:vertAlign w:val="superscript"/>
          <w:rtl w:val="0"/>
        </w:rPr>
        <w:t xml:space="preserve">59</w:t>
      </w:r>
      <w:r w:rsidDel="00000000" w:rsidR="00000000" w:rsidRPr="00000000">
        <w:rPr>
          <w:rFonts w:ascii="Google Sans Text" w:cs="Google Sans Text" w:eastAsia="Google Sans Text" w:hAnsi="Google Sans Text"/>
          <w:color w:val="1f1f1f"/>
          <w:rtl w:val="0"/>
        </w:rPr>
        <w:t xml:space="preserve"> Consequently, the policy matrix shifted toward wage-employment generation. The National Rural Employment Programme (NREP) launched in 1980 and the Rural Landless Employment Guarantee Programme (RLEGP) launched in 1983 were early, fragmented efforts.</w:t>
      </w:r>
      <w:r w:rsidDel="00000000" w:rsidR="00000000" w:rsidRPr="00000000">
        <w:rPr>
          <w:rFonts w:ascii="Google Sans Text" w:cs="Google Sans Text" w:eastAsia="Google Sans Text" w:hAnsi="Google Sans Text"/>
          <w:color w:val="444746"/>
          <w:sz w:val="24"/>
          <w:szCs w:val="24"/>
          <w:vertAlign w:val="superscript"/>
          <w:rtl w:val="0"/>
        </w:rPr>
        <w:t xml:space="preserve">60</w:t>
      </w:r>
      <w:r w:rsidDel="00000000" w:rsidR="00000000" w:rsidRPr="00000000">
        <w:rPr>
          <w:rFonts w:ascii="Google Sans Text" w:cs="Google Sans Text" w:eastAsia="Google Sans Text" w:hAnsi="Google Sans Text"/>
          <w:color w:val="1f1f1f"/>
          <w:rtl w:val="0"/>
        </w:rPr>
        <w:t xml:space="preserve"> In 1989, these were amalgamated to form the Jawahar Rozgar Yojana (JRY), which emphasized decentralized execution through Panchayati Raj institutions.</w:t>
      </w:r>
      <w:r w:rsidDel="00000000" w:rsidR="00000000" w:rsidRPr="00000000">
        <w:rPr>
          <w:rFonts w:ascii="Google Sans Text" w:cs="Google Sans Text" w:eastAsia="Google Sans Text" w:hAnsi="Google Sans Text"/>
          <w:color w:val="444746"/>
          <w:sz w:val="24"/>
          <w:szCs w:val="24"/>
          <w:vertAlign w:val="superscript"/>
          <w:rtl w:val="0"/>
        </w:rPr>
        <w:t xml:space="preserve">61</w:t>
      </w:r>
      <w:r w:rsidDel="00000000" w:rsidR="00000000" w:rsidRPr="00000000">
        <w:rPr>
          <w:rFonts w:ascii="Google Sans Text" w:cs="Google Sans Text" w:eastAsia="Google Sans Text" w:hAnsi="Google Sans Text"/>
          <w:color w:val="1f1f1f"/>
          <w:rtl w:val="0"/>
        </w:rPr>
        <w:t xml:space="preserve"> The JRY was later restructured and merged into the Sampoorna Grameen Rozgar Yojana (SGRY) in 2001.</w:t>
      </w:r>
      <w:r w:rsidDel="00000000" w:rsidR="00000000" w:rsidRPr="00000000">
        <w:rPr>
          <w:rFonts w:ascii="Google Sans Text" w:cs="Google Sans Text" w:eastAsia="Google Sans Text" w:hAnsi="Google Sans Text"/>
          <w:color w:val="444746"/>
          <w:sz w:val="24"/>
          <w:szCs w:val="24"/>
          <w:vertAlign w:val="superscript"/>
          <w:rtl w:val="0"/>
        </w:rPr>
        <w:t xml:space="preserve">61</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This evolutionary trajectory culminated in a legislative paradigm shift with the enactment of the Mahatma Gandhi National Rural Employment Guarantee Act (MGNREGA) in 2005 (implemented in 2006). Moving beyond traditional welfare schemes, MGNREGA established a rights-based entitlement, legally guaranteeing a minimum of 100 days of unskilled manual wage employment in a financial year to every rural household.</w:t>
      </w:r>
      <w:r w:rsidDel="00000000" w:rsidR="00000000" w:rsidRPr="00000000">
        <w:rPr>
          <w:rFonts w:ascii="Google Sans Text" w:cs="Google Sans Text" w:eastAsia="Google Sans Text" w:hAnsi="Google Sans Text"/>
          <w:color w:val="444746"/>
          <w:sz w:val="24"/>
          <w:szCs w:val="24"/>
          <w:vertAlign w:val="superscript"/>
          <w:rtl w:val="0"/>
        </w:rPr>
        <w:t xml:space="preserve">63</w:t>
      </w:r>
      <w:r w:rsidDel="00000000" w:rsidR="00000000" w:rsidRPr="00000000">
        <w:rPr>
          <w:rFonts w:ascii="Google Sans Text" w:cs="Google Sans Text" w:eastAsia="Google Sans Text" w:hAnsi="Google Sans Text"/>
          <w:color w:val="1f1f1f"/>
          <w:rtl w:val="0"/>
        </w:rPr>
        <w:t xml:space="preserve"> The Act mandates that at least one-third of the beneficiaries must be women, profoundly impacting female labor force participation, and incorporates mandatory social audits to ensure radical transparency.</w:t>
      </w:r>
      <w:r w:rsidDel="00000000" w:rsidR="00000000" w:rsidRPr="00000000">
        <w:rPr>
          <w:rFonts w:ascii="Google Sans Text" w:cs="Google Sans Text" w:eastAsia="Google Sans Text" w:hAnsi="Google Sans Text"/>
          <w:color w:val="444746"/>
          <w:sz w:val="24"/>
          <w:szCs w:val="24"/>
          <w:vertAlign w:val="superscript"/>
          <w:rtl w:val="0"/>
        </w:rPr>
        <w:t xml:space="preserve">64</w:t>
      </w:r>
    </w:p>
    <w:p w:rsidR="00000000" w:rsidDel="00000000" w:rsidP="00000000" w:rsidRDefault="00000000" w:rsidRPr="00000000" w14:paraId="0000007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Contemporary Macroeconomic Trends (2024-2027)</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Decades post-liberalization, the Indian economy exhibits extraordinary resilience, characterized by robust growth metrics outlined in the Economic Survey 2025-26 and the Union Budget 2026-27. India's real GDP is projected to maintain strong momentum, growing at an estimated 7.4% in FY26, with the growth forecast for FY27 pegged robustly between 6.8% and 7.2%.</w:t>
      </w:r>
      <w:r w:rsidDel="00000000" w:rsidR="00000000" w:rsidRPr="00000000">
        <w:rPr>
          <w:rFonts w:ascii="Google Sans Text" w:cs="Google Sans Text" w:eastAsia="Google Sans Text" w:hAnsi="Google Sans Text"/>
          <w:color w:val="444746"/>
          <w:sz w:val="24"/>
          <w:szCs w:val="24"/>
          <w:vertAlign w:val="superscript"/>
          <w:rtl w:val="0"/>
        </w:rPr>
        <w:t xml:space="preserve">66</w:t>
      </w:r>
      <w:r w:rsidDel="00000000" w:rsidR="00000000" w:rsidRPr="00000000">
        <w:rPr>
          <w:rFonts w:ascii="Google Sans Text" w:cs="Google Sans Text" w:eastAsia="Google Sans Text" w:hAnsi="Google Sans Text"/>
          <w:color w:val="1f1f1f"/>
          <w:rtl w:val="0"/>
        </w:rPr>
        <w:t xml:space="preserve"> This sustained expansion has elevated India's potential GDP growth rate to approximately 7%, driven comprehensively by domestic demand.</w:t>
      </w:r>
      <w:r w:rsidDel="00000000" w:rsidR="00000000" w:rsidRPr="00000000">
        <w:rPr>
          <w:rFonts w:ascii="Google Sans Text" w:cs="Google Sans Text" w:eastAsia="Google Sans Text" w:hAnsi="Google Sans Text"/>
          <w:color w:val="444746"/>
          <w:sz w:val="24"/>
          <w:szCs w:val="24"/>
          <w:vertAlign w:val="superscript"/>
          <w:rtl w:val="0"/>
        </w:rPr>
        <w:t xml:space="preserve">66</w:t>
      </w:r>
      <w:r w:rsidDel="00000000" w:rsidR="00000000" w:rsidRPr="00000000">
        <w:rPr>
          <w:rFonts w:ascii="Google Sans Text" w:cs="Google Sans Text" w:eastAsia="Google Sans Text" w:hAnsi="Google Sans Text"/>
          <w:color w:val="1f1f1f"/>
          <w:rtl w:val="0"/>
        </w:rPr>
        <w:t xml:space="preserve"> Private Final Consumption Expenditure (PFCE) accounts for a commanding 61.4% to 61.5% of the GDP, while Gross Fixed Capital Formation (investment) constitutes approximately 30.0%.</w:t>
      </w:r>
      <w:r w:rsidDel="00000000" w:rsidR="00000000" w:rsidRPr="00000000">
        <w:rPr>
          <w:rFonts w:ascii="Google Sans Text" w:cs="Google Sans Text" w:eastAsia="Google Sans Text" w:hAnsi="Google Sans Text"/>
          <w:color w:val="444746"/>
          <w:sz w:val="24"/>
          <w:szCs w:val="24"/>
          <w:vertAlign w:val="superscript"/>
          <w:rtl w:val="0"/>
        </w:rPr>
        <w:t xml:space="preserve">67</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This consumption resilience is heavily supported by successful macroeconomic price stabilization. Retail headline inflation followed a steep disinflationary trajectory, plunging from 5.4% in FY24 to average a historic low of 1.7% during the April-December 2025 period, effectively bolstering real purchasing power.</w:t>
      </w:r>
      <w:r w:rsidDel="00000000" w:rsidR="00000000" w:rsidRPr="00000000">
        <w:rPr>
          <w:rFonts w:ascii="Google Sans Text" w:cs="Google Sans Text" w:eastAsia="Google Sans Text" w:hAnsi="Google Sans Text"/>
          <w:color w:val="444746"/>
          <w:sz w:val="24"/>
          <w:szCs w:val="24"/>
          <w:vertAlign w:val="superscript"/>
          <w:rtl w:val="0"/>
        </w:rPr>
        <w:t xml:space="preserve">69</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external sector remains a fortress of stability. India's total exports (merchandise and services combined) achieved a record zenith of USD 825.3 billion in FY25.</w:t>
      </w:r>
      <w:r w:rsidDel="00000000" w:rsidR="00000000" w:rsidRPr="00000000">
        <w:rPr>
          <w:rFonts w:ascii="Google Sans Text" w:cs="Google Sans Text" w:eastAsia="Google Sans Text" w:hAnsi="Google Sans Text"/>
          <w:color w:val="444746"/>
          <w:sz w:val="24"/>
          <w:szCs w:val="24"/>
          <w:vertAlign w:val="superscript"/>
          <w:rtl w:val="0"/>
        </w:rPr>
        <w:t xml:space="preserve">66</w:t>
      </w:r>
      <w:r w:rsidDel="00000000" w:rsidR="00000000" w:rsidRPr="00000000">
        <w:rPr>
          <w:rFonts w:ascii="Google Sans Text" w:cs="Google Sans Text" w:eastAsia="Google Sans Text" w:hAnsi="Google Sans Text"/>
          <w:color w:val="1f1f1f"/>
          <w:rtl w:val="0"/>
        </w:rPr>
        <w:t xml:space="preserve"> This export vitality, dominated by high-value service exports, compressed the Current Account Deficit (CAD) to a highly manageable 0.8% of GDP in the first half of FY26.</w:t>
      </w:r>
      <w:r w:rsidDel="00000000" w:rsidR="00000000" w:rsidRPr="00000000">
        <w:rPr>
          <w:rFonts w:ascii="Google Sans Text" w:cs="Google Sans Text" w:eastAsia="Google Sans Text" w:hAnsi="Google Sans Text"/>
          <w:color w:val="444746"/>
          <w:sz w:val="24"/>
          <w:szCs w:val="24"/>
          <w:vertAlign w:val="superscript"/>
          <w:rtl w:val="0"/>
        </w:rPr>
        <w:t xml:space="preserve">72</w:t>
      </w:r>
      <w:r w:rsidDel="00000000" w:rsidR="00000000" w:rsidRPr="00000000">
        <w:rPr>
          <w:rFonts w:ascii="Google Sans Text" w:cs="Google Sans Text" w:eastAsia="Google Sans Text" w:hAnsi="Google Sans Text"/>
          <w:color w:val="1f1f1f"/>
          <w:rtl w:val="0"/>
        </w:rPr>
        <w:t xml:space="preserve"> Correspondingly, foreign exchange reserves swelled to an unprecedented USD 701.4 billion by early 2026, sufficient to cover 11 months of imports and hedge against global volatility.</w:t>
      </w:r>
      <w:r w:rsidDel="00000000" w:rsidR="00000000" w:rsidRPr="00000000">
        <w:rPr>
          <w:rFonts w:ascii="Google Sans Text" w:cs="Google Sans Text" w:eastAsia="Google Sans Text" w:hAnsi="Google Sans Text"/>
          <w:color w:val="444746"/>
          <w:sz w:val="24"/>
          <w:szCs w:val="24"/>
          <w:vertAlign w:val="superscript"/>
          <w:rtl w:val="0"/>
        </w:rPr>
        <w:t xml:space="preserve">68</w:t>
      </w:r>
      <w:r w:rsidDel="00000000" w:rsidR="00000000" w:rsidRPr="00000000">
        <w:rPr>
          <w:rFonts w:ascii="Google Sans Text" w:cs="Google Sans Text" w:eastAsia="Google Sans Text" w:hAnsi="Google Sans Text"/>
          <w:color w:val="1f1f1f"/>
          <w:rtl w:val="0"/>
        </w:rPr>
        <w:t xml:space="preserve"> Furthermore, financial sector intermediation has reached multi-decadal optimal levels, with Scheduled Commercial Banks reporting Gross Non-Performing Assets (GNPAs) falling to a mere 2.2% by September 2025.</w:t>
      </w:r>
      <w:r w:rsidDel="00000000" w:rsidR="00000000" w:rsidRPr="00000000">
        <w:rPr>
          <w:rFonts w:ascii="Google Sans Text" w:cs="Google Sans Text" w:eastAsia="Google Sans Text" w:hAnsi="Google Sans Text"/>
          <w:color w:val="444746"/>
          <w:sz w:val="24"/>
          <w:szCs w:val="24"/>
          <w:vertAlign w:val="superscript"/>
          <w:rtl w:val="0"/>
        </w:rPr>
        <w:t xml:space="preserve">67</w:t>
      </w:r>
    </w:p>
    <w:p w:rsidR="00000000" w:rsidDel="00000000" w:rsidP="00000000" w:rsidRDefault="00000000" w:rsidRPr="00000000" w14:paraId="00000077">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Public Economics: Externalities, Fiscal Management, and Federalism</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architecture of public economics justifies state intervention to rectify specific market failures, optimize resource allocation, and ensure macroeconomic stability. A fundamental market failure involves the provision of Public Goods, which are characterized by non-rivalry (one individual's consumption does not deplete the availability for others) and non-excludability (individuals cannot be prevented from consuming the good). Because private markets cannot efficiently price non-excludable goods due to the "free-rider" problem, the state must undertake their provision.</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Another critical rationale for intervention is the existence of Externalities—uncompensated impacts of one agent's actions on the well-being of a bystander. Negative externalities (e.g., pollution) lead to the overproduction of goods as producers ignore social costs, while positive externalities (e.g., education) result in underproduction as social benefits are not captured by the market. Theoretical resolutions to externalities include the Coase Theorem, which posits that if property rights are perfectly defined and transaction costs are absolute zero, private bargaining will yield an efficient outcome regardless of who initially holds the rights.</w:t>
      </w:r>
      <w:r w:rsidDel="00000000" w:rsidR="00000000" w:rsidRPr="00000000">
        <w:rPr>
          <w:rFonts w:ascii="Google Sans Text" w:cs="Google Sans Text" w:eastAsia="Google Sans Text" w:hAnsi="Google Sans Text"/>
          <w:color w:val="444746"/>
          <w:sz w:val="24"/>
          <w:szCs w:val="24"/>
          <w:vertAlign w:val="superscript"/>
          <w:rtl w:val="0"/>
        </w:rPr>
        <w:t xml:space="preserve">75</w:t>
      </w:r>
      <w:r w:rsidDel="00000000" w:rsidR="00000000" w:rsidRPr="00000000">
        <w:rPr>
          <w:rFonts w:ascii="Google Sans Text" w:cs="Google Sans Text" w:eastAsia="Google Sans Text" w:hAnsi="Google Sans Text"/>
          <w:color w:val="1f1f1f"/>
          <w:rtl w:val="0"/>
        </w:rPr>
        <w:t xml:space="preserve"> However, in reality, high transaction costs necessitate state interventions such as Pigouvian taxes (levying a tax equal to the marginal external cost) or direct regulation to internalize these externalities.</w:t>
      </w:r>
      <w:r w:rsidDel="00000000" w:rsidR="00000000" w:rsidRPr="00000000">
        <w:rPr>
          <w:rFonts w:ascii="Google Sans Text" w:cs="Google Sans Text" w:eastAsia="Google Sans Text" w:hAnsi="Google Sans Text"/>
          <w:color w:val="444746"/>
          <w:sz w:val="24"/>
          <w:szCs w:val="24"/>
          <w:vertAlign w:val="superscript"/>
          <w:rtl w:val="0"/>
        </w:rPr>
        <w:t xml:space="preserve">76</w:t>
      </w:r>
    </w:p>
    <w:p w:rsidR="00000000" w:rsidDel="00000000" w:rsidP="00000000" w:rsidRDefault="00000000" w:rsidRPr="00000000" w14:paraId="0000007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Budget, Deficits, and the FRBM Framework</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To manage the macroeconomy, the state relies on fiscal policy, meticulously planning its revenue and expenditure through the Union Budget. Fiscal health is assessed through several deficit indicators:</w:t>
      </w:r>
    </w:p>
    <w:p w:rsidR="00000000" w:rsidDel="00000000" w:rsidP="00000000" w:rsidRDefault="00000000" w:rsidRPr="00000000" w14:paraId="0000007C">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Revenue Deficit:</w:t>
      </w:r>
      <w:r w:rsidDel="00000000" w:rsidR="00000000" w:rsidRPr="00000000">
        <w:rPr>
          <w:rFonts w:ascii="Google Sans Text" w:cs="Google Sans Text" w:eastAsia="Google Sans Text" w:hAnsi="Google Sans Text"/>
          <w:color w:val="1f1f1f"/>
          <w:rtl w:val="0"/>
        </w:rPr>
        <w:t xml:space="preserve"> The excess of government revenue expenditure over revenue receipts. It indicates that the government is borrowing to finance day-to-day consumption, yielding no asset creation.</w:t>
      </w:r>
      <w:r w:rsidDel="00000000" w:rsidR="00000000" w:rsidRPr="00000000">
        <w:rPr>
          <w:rFonts w:ascii="Google Sans Text" w:cs="Google Sans Text" w:eastAsia="Google Sans Text" w:hAnsi="Google Sans Text"/>
          <w:color w:val="444746"/>
          <w:sz w:val="24"/>
          <w:szCs w:val="24"/>
          <w:vertAlign w:val="superscript"/>
          <w:rtl w:val="0"/>
        </w:rPr>
        <w:t xml:space="preserve">77</w:t>
      </w:r>
    </w:p>
    <w:p w:rsidR="00000000" w:rsidDel="00000000" w:rsidP="00000000" w:rsidRDefault="00000000" w:rsidRPr="00000000" w14:paraId="0000007D">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Fiscal Deficit:</w:t>
      </w:r>
      <w:r w:rsidDel="00000000" w:rsidR="00000000" w:rsidRPr="00000000">
        <w:rPr>
          <w:rFonts w:ascii="Google Sans Text" w:cs="Google Sans Text" w:eastAsia="Google Sans Text" w:hAnsi="Google Sans Text"/>
          <w:color w:val="1f1f1f"/>
          <w:rtl w:val="0"/>
        </w:rPr>
        <w:t xml:space="preserve"> The total borrowing requirement of the government. It is the excess of total expenditure over total receipts (excluding borrowings). A high fiscal deficit can crowd out private investment and stoke inflation.</w:t>
      </w:r>
      <w:r w:rsidDel="00000000" w:rsidR="00000000" w:rsidRPr="00000000">
        <w:rPr>
          <w:rFonts w:ascii="Google Sans Text" w:cs="Google Sans Text" w:eastAsia="Google Sans Text" w:hAnsi="Google Sans Text"/>
          <w:color w:val="444746"/>
          <w:sz w:val="24"/>
          <w:szCs w:val="24"/>
          <w:vertAlign w:val="superscript"/>
          <w:rtl w:val="0"/>
        </w:rPr>
        <w:t xml:space="preserve">77</w:t>
      </w:r>
    </w:p>
    <w:p w:rsidR="00000000" w:rsidDel="00000000" w:rsidP="00000000" w:rsidRDefault="00000000" w:rsidRPr="00000000" w14:paraId="0000007E">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Primary Deficit:</w:t>
      </w:r>
      <w:r w:rsidDel="00000000" w:rsidR="00000000" w:rsidRPr="00000000">
        <w:rPr>
          <w:rFonts w:ascii="Google Sans Text" w:cs="Google Sans Text" w:eastAsia="Google Sans Text" w:hAnsi="Google Sans Text"/>
          <w:color w:val="1f1f1f"/>
          <w:rtl w:val="0"/>
        </w:rPr>
        <w:t xml:space="preserve"> Fiscal deficit minus interest payments on prior borrowings. It reflects the current fiscal stance, stripping away the burden of historical debt.</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To institutionalize fiscal discipline and ensure inter-generational equity, the Government of India enacted the Fiscal Responsibility and Budget Management (FRBM) Act in 2003. The legislation originally mandated the elimination of the revenue deficit and aimed to restrict the fiscal deficit to 3% of GDP.</w:t>
      </w:r>
      <w:r w:rsidDel="00000000" w:rsidR="00000000" w:rsidRPr="00000000">
        <w:rPr>
          <w:rFonts w:ascii="Google Sans Text" w:cs="Google Sans Text" w:eastAsia="Google Sans Text" w:hAnsi="Google Sans Text"/>
          <w:color w:val="444746"/>
          <w:sz w:val="24"/>
          <w:szCs w:val="24"/>
          <w:vertAlign w:val="superscript"/>
          <w:rtl w:val="0"/>
        </w:rPr>
        <w:t xml:space="preserve">78</w:t>
      </w:r>
      <w:r w:rsidDel="00000000" w:rsidR="00000000" w:rsidRPr="00000000">
        <w:rPr>
          <w:rFonts w:ascii="Google Sans Text" w:cs="Google Sans Text" w:eastAsia="Google Sans Text" w:hAnsi="Google Sans Text"/>
          <w:color w:val="1f1f1f"/>
          <w:rtl w:val="0"/>
        </w:rPr>
        <w:t xml:space="preserve"> Crucially, to enforce transparency, the FRBM Act compels the government to present specific fiscal strategy documents to Parliament alongside the Annual Budget: the Macroeconomic Framework Statement, the Medium-Term Fiscal Policy Statement, and the Fiscal Policy Strategy Statement.</w:t>
      </w:r>
      <w:r w:rsidDel="00000000" w:rsidR="00000000" w:rsidRPr="00000000">
        <w:rPr>
          <w:rFonts w:ascii="Google Sans Text" w:cs="Google Sans Text" w:eastAsia="Google Sans Text" w:hAnsi="Google Sans Text"/>
          <w:color w:val="444746"/>
          <w:sz w:val="24"/>
          <w:szCs w:val="24"/>
          <w:vertAlign w:val="superscript"/>
          <w:rtl w:val="0"/>
        </w:rPr>
        <w:t xml:space="preserve">78</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Following the recommendations of the N.K. Singh Review Committee in 2016, the FRBM targets were revised to focus on debt-to-GDP ratios, targeting a ceiling of 60% for General Government Debt (40% Centre, 20% States).</w:t>
      </w:r>
      <w:r w:rsidDel="00000000" w:rsidR="00000000" w:rsidRPr="00000000">
        <w:rPr>
          <w:rFonts w:ascii="Google Sans Text" w:cs="Google Sans Text" w:eastAsia="Google Sans Text" w:hAnsi="Google Sans Text"/>
          <w:color w:val="444746"/>
          <w:sz w:val="24"/>
          <w:szCs w:val="24"/>
          <w:vertAlign w:val="superscript"/>
          <w:rtl w:val="0"/>
        </w:rPr>
        <w:t xml:space="preserve">79</w:t>
      </w:r>
      <w:r w:rsidDel="00000000" w:rsidR="00000000" w:rsidRPr="00000000">
        <w:rPr>
          <w:rFonts w:ascii="Google Sans Text" w:cs="Google Sans Text" w:eastAsia="Google Sans Text" w:hAnsi="Google Sans Text"/>
          <w:color w:val="1f1f1f"/>
          <w:rtl w:val="0"/>
        </w:rPr>
        <w:t xml:space="preserve"> The Union Budget 2026-27 exemplifies strict adherence to the revised fiscal consolidation glide path. The government has aggressively scaled up capital expenditure to a historic ₹12.2 lakh crore (focusing on infrastructure asset creation) while simultaneously compressing the Fiscal Deficit to an estimated 4.3% of GDP for FY27, down from the 4.4% projected for FY26.</w:t>
      </w:r>
      <w:r w:rsidDel="00000000" w:rsidR="00000000" w:rsidRPr="00000000">
        <w:rPr>
          <w:rFonts w:ascii="Google Sans Text" w:cs="Google Sans Text" w:eastAsia="Google Sans Text" w:hAnsi="Google Sans Text"/>
          <w:color w:val="444746"/>
          <w:sz w:val="24"/>
          <w:szCs w:val="24"/>
          <w:vertAlign w:val="superscript"/>
          <w:rtl w:val="0"/>
        </w:rPr>
        <w:t xml:space="preserve">82</w:t>
      </w:r>
      <w:r w:rsidDel="00000000" w:rsidR="00000000" w:rsidRPr="00000000">
        <w:rPr>
          <w:rFonts w:ascii="Google Sans Text" w:cs="Google Sans Text" w:eastAsia="Google Sans Text" w:hAnsi="Google Sans Text"/>
          <w:color w:val="1f1f1f"/>
          <w:rtl w:val="0"/>
        </w:rPr>
        <w:t xml:space="preserve"> Correspondingly, the Central Government's debt-to-GDP ratio is projected to securely decline to 55.6% in FY27.</w:t>
      </w:r>
      <w:r w:rsidDel="00000000" w:rsidR="00000000" w:rsidRPr="00000000">
        <w:rPr>
          <w:rFonts w:ascii="Google Sans Text" w:cs="Google Sans Text" w:eastAsia="Google Sans Text" w:hAnsi="Google Sans Text"/>
          <w:color w:val="444746"/>
          <w:sz w:val="24"/>
          <w:szCs w:val="24"/>
          <w:vertAlign w:val="superscript"/>
          <w:rtl w:val="0"/>
        </w:rPr>
        <w:t xml:space="preserve">83</w:t>
      </w:r>
    </w:p>
    <w:p w:rsidR="00000000" w:rsidDel="00000000" w:rsidP="00000000" w:rsidRDefault="00000000" w:rsidRPr="00000000" w14:paraId="0000008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Fiscal Federalism: The 16th Finance Commission</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India’s federal architecture requires a sophisticated mechanism to address the inherent vertical imbalance (the Centre possesses highly buoyant tax powers while States bear vast expenditure responsibilities) and horizontal imbalance (differing fiscal capacities among states). Article 280 of the Constitution mandates the periodic formation of a Finance Commission to adjudicate the distribution of the "divisible pool" of central taxes—which strictly excludes cesses, surcharges, and costs of collection.</w:t>
      </w:r>
      <w:r w:rsidDel="00000000" w:rsidR="00000000" w:rsidRPr="00000000">
        <w:rPr>
          <w:rFonts w:ascii="Google Sans Text" w:cs="Google Sans Text" w:eastAsia="Google Sans Text" w:hAnsi="Google Sans Text"/>
          <w:color w:val="444746"/>
          <w:sz w:val="24"/>
          <w:szCs w:val="24"/>
          <w:vertAlign w:val="superscript"/>
          <w:rtl w:val="0"/>
        </w:rPr>
        <w:t xml:space="preserve">85</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16th Finance Commission (16th FC), chaired by Dr. Arvind Panagariya, has submitted sweeping recommendations for the award period 2026-2031, representing a profound paradigm shift in horizontal devolution.</w:t>
      </w:r>
      <w:r w:rsidDel="00000000" w:rsidR="00000000" w:rsidRPr="00000000">
        <w:rPr>
          <w:rFonts w:ascii="Google Sans Text" w:cs="Google Sans Text" w:eastAsia="Google Sans Text" w:hAnsi="Google Sans Text"/>
          <w:color w:val="444746"/>
          <w:sz w:val="24"/>
          <w:szCs w:val="24"/>
          <w:vertAlign w:val="superscript"/>
          <w:rtl w:val="0"/>
        </w:rPr>
        <w:t xml:space="preserve">85</w:t>
      </w:r>
      <w:r w:rsidDel="00000000" w:rsidR="00000000" w:rsidRPr="00000000">
        <w:rPr>
          <w:rFonts w:ascii="Google Sans Text" w:cs="Google Sans Text" w:eastAsia="Google Sans Text" w:hAnsi="Google Sans Text"/>
          <w:color w:val="1f1f1f"/>
          <w:rtl w:val="0"/>
        </w:rPr>
        <w:t xml:space="preserve"> While the Commission maintained continuity by retaining the vertical devolution share at 41% of the divisible pool (identical to the 15th FC), it radically overhauled the criteria determining how that 41% is distributed among the states.</w:t>
      </w:r>
      <w:r w:rsidDel="00000000" w:rsidR="00000000" w:rsidRPr="00000000">
        <w:rPr>
          <w:rFonts w:ascii="Google Sans Text" w:cs="Google Sans Text" w:eastAsia="Google Sans Text" w:hAnsi="Google Sans Text"/>
          <w:color w:val="444746"/>
          <w:sz w:val="24"/>
          <w:szCs w:val="24"/>
          <w:vertAlign w:val="superscript"/>
          <w:rtl w:val="0"/>
        </w:rPr>
        <w:t xml:space="preserve">86</w:t>
      </w:r>
      <w:r w:rsidDel="00000000" w:rsidR="00000000" w:rsidRPr="00000000">
        <w:rPr>
          <w:rFonts w:ascii="Google Sans Text" w:cs="Google Sans Text" w:eastAsia="Google Sans Text" w:hAnsi="Google Sans Text"/>
          <w:color w:val="1f1f1f"/>
          <w:rtl w:val="0"/>
        </w:rPr>
        <w:t xml:space="preserve"> The 16th FC signals a strategic pivot from purely entitlement-based redistribution toward a framework that actively rewards economic efficiency and growth.</w:t>
      </w:r>
      <w:r w:rsidDel="00000000" w:rsidR="00000000" w:rsidRPr="00000000">
        <w:rPr>
          <w:rFonts w:ascii="Google Sans Text" w:cs="Google Sans Text" w:eastAsia="Google Sans Text" w:hAnsi="Google Sans Text"/>
          <w:color w:val="444746"/>
          <w:sz w:val="24"/>
          <w:szCs w:val="24"/>
          <w:vertAlign w:val="superscript"/>
          <w:rtl w:val="0"/>
        </w:rPr>
        <w:t xml:space="preserve">86</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tl w:val="0"/>
        </w:rPr>
      </w:r>
    </w:p>
    <w:tbl>
      <w:tblPr>
        <w:tblStyle w:val="Table4"/>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Devolution Criteria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15th FC Weight (2021-2026)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16th FC Weight (2026-2031)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Strategic Rationale and Impact of Changes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Income Distance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45.0%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Weight reduced. It remains the dominant equity metric to aid poorer states, but the reduction signals a slight shift away from massive redistribution.</w:t>
            </w:r>
            <w:r w:rsidDel="00000000" w:rsidR="00000000" w:rsidRPr="00000000">
              <w:rPr>
                <w:rFonts w:ascii="Google Sans Text" w:cs="Google Sans Text" w:eastAsia="Google Sans Text" w:hAnsi="Google Sans Text"/>
                <w:color w:val="444746"/>
                <w:sz w:val="24"/>
                <w:szCs w:val="24"/>
                <w:vertAlign w:val="superscript"/>
                <w:rtl w:val="0"/>
              </w:rPr>
              <w:t xml:space="preserve">87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Population (2011)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15.0%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17.5%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Weight increased. Acknowledges the vast per-capita expenditure needs of populous states in providing administrative services.</w:t>
            </w:r>
            <w:r w:rsidDel="00000000" w:rsidR="00000000" w:rsidRPr="00000000">
              <w:rPr>
                <w:rFonts w:ascii="Google Sans Text" w:cs="Google Sans Text" w:eastAsia="Google Sans Text" w:hAnsi="Google Sans Text"/>
                <w:color w:val="444746"/>
                <w:sz w:val="24"/>
                <w:szCs w:val="24"/>
                <w:vertAlign w:val="superscript"/>
                <w:rtl w:val="0"/>
              </w:rPr>
              <w:t xml:space="preserve">87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Demographic Performance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Methodology shifted from Total Fertility Rate to historical population growth (1971-2011), continuing to reward states for population control efforts.</w:t>
            </w:r>
            <w:r w:rsidDel="00000000" w:rsidR="00000000" w:rsidRPr="00000000">
              <w:rPr>
                <w:rFonts w:ascii="Google Sans Text" w:cs="Google Sans Text" w:eastAsia="Google Sans Text" w:hAnsi="Google Sans Text"/>
                <w:color w:val="444746"/>
                <w:sz w:val="24"/>
                <w:szCs w:val="24"/>
                <w:vertAlign w:val="superscript"/>
                <w:rtl w:val="0"/>
              </w:rPr>
              <w:t xml:space="preserve">87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Area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15.0%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Weight sharply reduced, lowering the inter-se share of geographically expansive states.</w:t>
            </w:r>
            <w:r w:rsidDel="00000000" w:rsidR="00000000" w:rsidRPr="00000000">
              <w:rPr>
                <w:rFonts w:ascii="Google Sans Text" w:cs="Google Sans Text" w:eastAsia="Google Sans Text" w:hAnsi="Google Sans Text"/>
                <w:color w:val="444746"/>
                <w:sz w:val="24"/>
                <w:szCs w:val="24"/>
                <w:vertAlign w:val="superscript"/>
                <w:rtl w:val="0"/>
              </w:rPr>
              <w:t xml:space="preserve">87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Forest &amp; Ecology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Maintained weight, but the formula is expanded to include open forests and actively rewards recent increases in forest cover.</w:t>
            </w:r>
            <w:r w:rsidDel="00000000" w:rsidR="00000000" w:rsidRPr="00000000">
              <w:rPr>
                <w:rFonts w:ascii="Google Sans Text" w:cs="Google Sans Text" w:eastAsia="Google Sans Text" w:hAnsi="Google Sans Text"/>
                <w:color w:val="444746"/>
                <w:sz w:val="24"/>
                <w:szCs w:val="24"/>
                <w:vertAlign w:val="superscript"/>
                <w:rtl w:val="0"/>
              </w:rPr>
              <w:t xml:space="preserve">87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Tax &amp; Fiscal Efforts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Completely eliminated from the formula.</w:t>
            </w:r>
            <w:r w:rsidDel="00000000" w:rsidR="00000000" w:rsidRPr="00000000">
              <w:rPr>
                <w:rFonts w:ascii="Google Sans Text" w:cs="Google Sans Text" w:eastAsia="Google Sans Text" w:hAnsi="Google Sans Text"/>
                <w:color w:val="444746"/>
                <w:sz w:val="24"/>
                <w:szCs w:val="24"/>
                <w:vertAlign w:val="superscript"/>
                <w:rtl w:val="0"/>
              </w:rPr>
              <w:t xml:space="preserve">87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Contribution to GDP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 revolutionary new metric introduced to reward economic efficiency. It directly benefits industrialized states that serve as the nation's "growth engines".</w:t>
            </w:r>
            <w:r w:rsidDel="00000000" w:rsidR="00000000" w:rsidRPr="00000000">
              <w:rPr>
                <w:rFonts w:ascii="Google Sans Text" w:cs="Google Sans Text" w:eastAsia="Google Sans Text" w:hAnsi="Google Sans Text"/>
                <w:color w:val="444746"/>
                <w:sz w:val="24"/>
                <w:szCs w:val="24"/>
                <w:vertAlign w:val="superscript"/>
                <w:rtl w:val="0"/>
              </w:rPr>
              <w:t xml:space="preserve">89</w:t>
            </w:r>
          </w:p>
        </w:tc>
      </w:tr>
    </w:tbl>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introduction of the "Contribution to GDP" criterion marks a historic rebalancing in Indian fiscal federalism. It explicitly acknowledges that states driving national economic output require adequate fiscal resources to sustain critical infrastructure and investment.</w:t>
      </w:r>
      <w:r w:rsidDel="00000000" w:rsidR="00000000" w:rsidRPr="00000000">
        <w:rPr>
          <w:rFonts w:ascii="Google Sans Text" w:cs="Google Sans Text" w:eastAsia="Google Sans Text" w:hAnsi="Google Sans Text"/>
          <w:color w:val="444746"/>
          <w:sz w:val="24"/>
          <w:szCs w:val="24"/>
          <w:vertAlign w:val="superscript"/>
          <w:rtl w:val="0"/>
        </w:rPr>
        <w:t xml:space="preserve">86</w:t>
      </w:r>
      <w:r w:rsidDel="00000000" w:rsidR="00000000" w:rsidRPr="00000000">
        <w:rPr>
          <w:rFonts w:ascii="Google Sans Text" w:cs="Google Sans Text" w:eastAsia="Google Sans Text" w:hAnsi="Google Sans Text"/>
          <w:color w:val="1f1f1f"/>
          <w:rtl w:val="0"/>
        </w:rPr>
        <w:t xml:space="preserve"> Furthermore, the 16th FC enforced strict fiscal discipline architectures by mandating the cessation of revenue deficit grants, strictly capping state fiscal deficits at 3% of GSDP, and directing states to uniformly eliminate off-budget borrowings and rationalise unchecked subsidy expenditures.</w:t>
      </w:r>
      <w:r w:rsidDel="00000000" w:rsidR="00000000" w:rsidRPr="00000000">
        <w:rPr>
          <w:rFonts w:ascii="Google Sans Text" w:cs="Google Sans Text" w:eastAsia="Google Sans Text" w:hAnsi="Google Sans Text"/>
          <w:color w:val="444746"/>
          <w:sz w:val="24"/>
          <w:szCs w:val="24"/>
          <w:vertAlign w:val="superscript"/>
          <w:rtl w:val="0"/>
        </w:rPr>
        <w:t xml:space="preserve">86</w:t>
      </w:r>
    </w:p>
    <w:p w:rsidR="00000000" w:rsidDel="00000000" w:rsidP="00000000" w:rsidRDefault="00000000" w:rsidRPr="00000000" w14:paraId="000000A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Taxation: Economic Effects, Efficiency, and Equity Considerations</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Taxation is the primary vehicle for resource mobilization, yet it inherently alters market prices, driving wedges between the price consumers pay and the price producers receive. This distortion induces behavioral changes that lead to an inefficient allocation of resources. The central metric of this inefficiency is the "Deadweight Loss" (DWL), or excess burden of taxation.</w:t>
      </w:r>
      <w:r w:rsidDel="00000000" w:rsidR="00000000" w:rsidRPr="00000000">
        <w:rPr>
          <w:rFonts w:ascii="Google Sans Text" w:cs="Google Sans Text" w:eastAsia="Google Sans Text" w:hAnsi="Google Sans Text"/>
          <w:color w:val="444746"/>
          <w:sz w:val="24"/>
          <w:szCs w:val="24"/>
          <w:vertAlign w:val="superscript"/>
          <w:rtl w:val="0"/>
        </w:rPr>
        <w:t xml:space="preserve">92</w:t>
      </w:r>
      <w:r w:rsidDel="00000000" w:rsidR="00000000" w:rsidRPr="00000000">
        <w:rPr>
          <w:rFonts w:ascii="Google Sans Text" w:cs="Google Sans Text" w:eastAsia="Google Sans Text" w:hAnsi="Google Sans Text"/>
          <w:color w:val="1f1f1f"/>
          <w:rtl w:val="0"/>
        </w:rPr>
        <w:t xml:space="preserve"> Deadweight loss quantifies the irreversible destruction of economic surplus (the combined loss of consumer and producer surplus) that occurs when a tax reduces the total quantity traded in a market.</w:t>
      </w:r>
      <w:r w:rsidDel="00000000" w:rsidR="00000000" w:rsidRPr="00000000">
        <w:rPr>
          <w:rFonts w:ascii="Google Sans Text" w:cs="Google Sans Text" w:eastAsia="Google Sans Text" w:hAnsi="Google Sans Text"/>
          <w:color w:val="444746"/>
          <w:sz w:val="24"/>
          <w:szCs w:val="24"/>
          <w:vertAlign w:val="superscript"/>
          <w:rtl w:val="0"/>
        </w:rPr>
        <w:t xml:space="preserve">94</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magnitude of deadweight loss is governed mathematically by the Harberger Triangle formula, which demonstrates that DWL is directly proportional to the price elasticities of demand and supply, and proportional to the </w:t>
      </w:r>
      <w:r w:rsidDel="00000000" w:rsidR="00000000" w:rsidRPr="00000000">
        <w:rPr>
          <w:rFonts w:ascii="Google Sans Text" w:cs="Google Sans Text" w:eastAsia="Google Sans Text" w:hAnsi="Google Sans Text"/>
          <w:i w:val="1"/>
          <w:iCs w:val="1"/>
          <w:color w:val="1f1f1f"/>
          <w:rtl w:val="0"/>
        </w:rPr>
        <w:t xml:space="preserve">square</w:t>
      </w:r>
      <w:r w:rsidDel="00000000" w:rsidR="00000000" w:rsidRPr="00000000">
        <w:rPr>
          <w:rFonts w:ascii="Google Sans Text" w:cs="Google Sans Text" w:eastAsia="Google Sans Text" w:hAnsi="Google Sans Text"/>
          <w:color w:val="1f1f1f"/>
          <w:rtl w:val="0"/>
        </w:rPr>
        <w:t xml:space="preserve"> of the tax rate.</w:t>
      </w:r>
      <w:r w:rsidDel="00000000" w:rsidR="00000000" w:rsidRPr="00000000">
        <w:rPr>
          <w:rFonts w:ascii="Google Sans Text" w:cs="Google Sans Text" w:eastAsia="Google Sans Text" w:hAnsi="Google Sans Text"/>
          <w:color w:val="444746"/>
          <w:sz w:val="24"/>
          <w:szCs w:val="24"/>
          <w:vertAlign w:val="superscript"/>
          <w:rtl w:val="0"/>
        </w:rPr>
        <w:t xml:space="preserve">92</w:t>
      </w:r>
      <w:r w:rsidDel="00000000" w:rsidR="00000000" w:rsidRPr="00000000">
        <w:rPr>
          <w:rFonts w:ascii="Google Sans Text" w:cs="Google Sans Text" w:eastAsia="Google Sans Text" w:hAnsi="Google Sans Text"/>
          <w:color w:val="1f1f1f"/>
          <w:rtl w:val="0"/>
        </w:rPr>
        <w:t xml:space="preserve"> Consequently, taxing commodities with highly elastic demand or supply generates massive deadweight losses because consumers and producers readily substitute away from the taxed good. Conversely, taxing highly inelastic goods generates minimal behavioral distortion and minimal excess burden.</w:t>
      </w:r>
      <w:r w:rsidDel="00000000" w:rsidR="00000000" w:rsidRPr="00000000">
        <w:rPr>
          <w:rFonts w:ascii="Google Sans Text" w:cs="Google Sans Text" w:eastAsia="Google Sans Text" w:hAnsi="Google Sans Text"/>
          <w:color w:val="444746"/>
          <w:sz w:val="24"/>
          <w:szCs w:val="24"/>
          <w:vertAlign w:val="superscript"/>
          <w:rtl w:val="0"/>
        </w:rPr>
        <w:t xml:space="preserve">94</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This relationship forms the cornerstone of </w:t>
      </w:r>
      <w:r w:rsidDel="00000000" w:rsidR="00000000" w:rsidRPr="00000000">
        <w:rPr>
          <w:rFonts w:ascii="Google Sans Text" w:cs="Google Sans Text" w:eastAsia="Google Sans Text" w:hAnsi="Google Sans Text"/>
          <w:b w:val="1"/>
          <w:bCs w:val="1"/>
          <w:color w:val="1f1f1f"/>
          <w:rtl w:val="0"/>
        </w:rPr>
        <w:t xml:space="preserve">Optimal Commodity Taxation</w:t>
      </w:r>
      <w:r w:rsidDel="00000000" w:rsidR="00000000" w:rsidRPr="00000000">
        <w:rPr>
          <w:rFonts w:ascii="Google Sans Text" w:cs="Google Sans Text" w:eastAsia="Google Sans Text" w:hAnsi="Google Sans Text"/>
          <w:color w:val="1f1f1f"/>
          <w:rtl w:val="0"/>
        </w:rPr>
        <w:t xml:space="preserve">, specifically formalized as the </w:t>
      </w:r>
      <w:r w:rsidDel="00000000" w:rsidR="00000000" w:rsidRPr="00000000">
        <w:rPr>
          <w:rFonts w:ascii="Google Sans Text" w:cs="Google Sans Text" w:eastAsia="Google Sans Text" w:hAnsi="Google Sans Text"/>
          <w:b w:val="1"/>
          <w:bCs w:val="1"/>
          <w:color w:val="1f1f1f"/>
          <w:rtl w:val="0"/>
        </w:rPr>
        <w:t xml:space="preserve">Ramsey Inverse Elasticity Rule</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95</w:t>
      </w:r>
      <w:r w:rsidDel="00000000" w:rsidR="00000000" w:rsidRPr="00000000">
        <w:rPr>
          <w:rFonts w:ascii="Google Sans Text" w:cs="Google Sans Text" w:eastAsia="Google Sans Text" w:hAnsi="Google Sans Text"/>
          <w:color w:val="1f1f1f"/>
          <w:rtl w:val="0"/>
        </w:rPr>
        <w:t xml:space="preserve"> The Ramsey rule postulates that to minimize aggregate deadweight loss while achieving a specific revenue target, the government should set tax rates inversely proportional to the price elasticities of demand for various commodities.</w:t>
      </w:r>
      <w:r w:rsidDel="00000000" w:rsidR="00000000" w:rsidRPr="00000000">
        <w:rPr>
          <w:rFonts w:ascii="Google Sans Text" w:cs="Google Sans Text" w:eastAsia="Google Sans Text" w:hAnsi="Google Sans Text"/>
          <w:color w:val="444746"/>
          <w:sz w:val="24"/>
          <w:szCs w:val="24"/>
          <w:vertAlign w:val="superscript"/>
          <w:rtl w:val="0"/>
        </w:rPr>
        <w:t xml:space="preserve">95</w:t>
      </w:r>
      <w:r w:rsidDel="00000000" w:rsidR="00000000" w:rsidRPr="00000000">
        <w:rPr>
          <w:rFonts w:ascii="Google Sans Text" w:cs="Google Sans Text" w:eastAsia="Google Sans Text" w:hAnsi="Google Sans Text"/>
          <w:color w:val="1f1f1f"/>
          <w:rtl w:val="0"/>
        </w:rPr>
        <w:t xml:space="preserve"> Under this doctrine of efficiency, goods with highly inelastic demand curves should be subjected to the highest tax rates.</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However, optimal taxation theory encounters severe friction when confronted with principles of Equity. Goods with highly inelastic demand are frequently absolute necessities (e.g., basic foodstuffs, vital medicines) consumed disproportionately by the impoverished.</w:t>
      </w:r>
      <w:r w:rsidDel="00000000" w:rsidR="00000000" w:rsidRPr="00000000">
        <w:rPr>
          <w:rFonts w:ascii="Google Sans Text" w:cs="Google Sans Text" w:eastAsia="Google Sans Text" w:hAnsi="Google Sans Text"/>
          <w:color w:val="444746"/>
          <w:sz w:val="24"/>
          <w:szCs w:val="24"/>
          <w:vertAlign w:val="superscript"/>
          <w:rtl w:val="0"/>
        </w:rPr>
        <w:t xml:space="preserve">95</w:t>
      </w:r>
      <w:r w:rsidDel="00000000" w:rsidR="00000000" w:rsidRPr="00000000">
        <w:rPr>
          <w:rFonts w:ascii="Google Sans Text" w:cs="Google Sans Text" w:eastAsia="Google Sans Text" w:hAnsi="Google Sans Text"/>
          <w:color w:val="1f1f1f"/>
          <w:rtl w:val="0"/>
        </w:rPr>
        <w:t xml:space="preserve"> Applying the Ramsey rule strictly would result in a highly regressive tax system. Thus, policymakers must constantly navigate the Efficiency-Equity trade-off.</w:t>
      </w:r>
      <w:r w:rsidDel="00000000" w:rsidR="00000000" w:rsidRPr="00000000">
        <w:rPr>
          <w:rFonts w:ascii="Google Sans Text" w:cs="Google Sans Text" w:eastAsia="Google Sans Text" w:hAnsi="Google Sans Text"/>
          <w:color w:val="444746"/>
          <w:sz w:val="24"/>
          <w:szCs w:val="24"/>
          <w:vertAlign w:val="superscript"/>
          <w:rtl w:val="0"/>
        </w:rPr>
        <w:t xml:space="preserve">93</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concept of equity is bifurcated into two dimensions:</w:t>
      </w:r>
    </w:p>
    <w:p w:rsidR="00000000" w:rsidDel="00000000" w:rsidP="00000000" w:rsidRDefault="00000000" w:rsidRPr="00000000" w14:paraId="000000AC">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Horizontal Equity:</w:t>
      </w:r>
      <w:r w:rsidDel="00000000" w:rsidR="00000000" w:rsidRPr="00000000">
        <w:rPr>
          <w:rFonts w:ascii="Google Sans Text" w:cs="Google Sans Text" w:eastAsia="Google Sans Text" w:hAnsi="Google Sans Text"/>
          <w:color w:val="1f1f1f"/>
          <w:rtl w:val="0"/>
        </w:rPr>
        <w:t xml:space="preserve"> Dictates that taxpayers with identical economic capacities and incomes should bear exactly the same tax burden, safeguarding against arbitrary discrimination.</w:t>
      </w:r>
      <w:r w:rsidDel="00000000" w:rsidR="00000000" w:rsidRPr="00000000">
        <w:rPr>
          <w:rFonts w:ascii="Google Sans Text" w:cs="Google Sans Text" w:eastAsia="Google Sans Text" w:hAnsi="Google Sans Text"/>
          <w:color w:val="444746"/>
          <w:sz w:val="24"/>
          <w:szCs w:val="24"/>
          <w:vertAlign w:val="superscript"/>
          <w:rtl w:val="0"/>
        </w:rPr>
        <w:t xml:space="preserve">97</w:t>
      </w:r>
    </w:p>
    <w:p w:rsidR="00000000" w:rsidDel="00000000" w:rsidP="00000000" w:rsidRDefault="00000000" w:rsidRPr="00000000" w14:paraId="000000AD">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Vertical Equity:</w:t>
      </w:r>
      <w:r w:rsidDel="00000000" w:rsidR="00000000" w:rsidRPr="00000000">
        <w:rPr>
          <w:rFonts w:ascii="Google Sans Text" w:cs="Google Sans Text" w:eastAsia="Google Sans Text" w:hAnsi="Google Sans Text"/>
          <w:color w:val="1f1f1f"/>
          <w:rtl w:val="0"/>
        </w:rPr>
        <w:t xml:space="preserve"> Operates on the "ability-to-pay" principle, arguing that individuals with greater economic capacity (higher incomes or wealth) should bear a proportionally larger share of the tax burden, providing the theoretical justification for progressive income taxation.</w:t>
      </w:r>
      <w:r w:rsidDel="00000000" w:rsidR="00000000" w:rsidRPr="00000000">
        <w:rPr>
          <w:rFonts w:ascii="Google Sans Text" w:cs="Google Sans Text" w:eastAsia="Google Sans Text" w:hAnsi="Google Sans Text"/>
          <w:color w:val="444746"/>
          <w:sz w:val="24"/>
          <w:szCs w:val="24"/>
          <w:vertAlign w:val="superscript"/>
          <w:rtl w:val="0"/>
        </w:rPr>
        <w:t xml:space="preserve">93</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Furthermore, the economic burden of a tax rarely aligns with its statutory burden. </w:t>
      </w:r>
      <w:r w:rsidDel="00000000" w:rsidR="00000000" w:rsidRPr="00000000">
        <w:rPr>
          <w:rFonts w:ascii="Google Sans Text" w:cs="Google Sans Text" w:eastAsia="Google Sans Text" w:hAnsi="Google Sans Text"/>
          <w:b w:val="1"/>
          <w:bCs w:val="1"/>
          <w:color w:val="1f1f1f"/>
          <w:rtl w:val="0"/>
        </w:rPr>
        <w:t xml:space="preserve">Tax Incidence</w:t>
      </w:r>
      <w:r w:rsidDel="00000000" w:rsidR="00000000" w:rsidRPr="00000000">
        <w:rPr>
          <w:rFonts w:ascii="Google Sans Text" w:cs="Google Sans Text" w:eastAsia="Google Sans Text" w:hAnsi="Google Sans Text"/>
          <w:color w:val="1f1f1f"/>
          <w:rtl w:val="0"/>
        </w:rPr>
        <w:t xml:space="preserve"> theory demonstrates that the distribution of the tax burden depends entirely on the relative elasticities of supply and demand.</w:t>
      </w:r>
      <w:r w:rsidDel="00000000" w:rsidR="00000000" w:rsidRPr="00000000">
        <w:rPr>
          <w:rFonts w:ascii="Google Sans Text" w:cs="Google Sans Text" w:eastAsia="Google Sans Text" w:hAnsi="Google Sans Text"/>
          <w:color w:val="444746"/>
          <w:sz w:val="24"/>
          <w:szCs w:val="24"/>
          <w:vertAlign w:val="superscript"/>
          <w:rtl w:val="0"/>
        </w:rPr>
        <w:t xml:space="preserve">76</w:t>
      </w:r>
      <w:r w:rsidDel="00000000" w:rsidR="00000000" w:rsidRPr="00000000">
        <w:rPr>
          <w:rFonts w:ascii="Google Sans Text" w:cs="Google Sans Text" w:eastAsia="Google Sans Text" w:hAnsi="Google Sans Text"/>
          <w:color w:val="1f1f1f"/>
          <w:rtl w:val="0"/>
        </w:rPr>
        <w:t xml:space="preserve"> The side of the market that is more inelastic (less able to alter its behavior or find substitutes) will inevitably absorb the larger share of the economic tax burden, irrespective of whether the government legally levies the tax on the producer or the consumer.</w:t>
      </w:r>
      <w:r w:rsidDel="00000000" w:rsidR="00000000" w:rsidRPr="00000000">
        <w:rPr>
          <w:rFonts w:ascii="Google Sans Text" w:cs="Google Sans Text" w:eastAsia="Google Sans Text" w:hAnsi="Google Sans Text"/>
          <w:color w:val="444746"/>
          <w:sz w:val="24"/>
          <w:szCs w:val="24"/>
          <w:vertAlign w:val="superscript"/>
          <w:rtl w:val="0"/>
        </w:rPr>
        <w:t xml:space="preserve">94</w:t>
      </w:r>
    </w:p>
    <w:p w:rsidR="00000000" w:rsidDel="00000000" w:rsidP="00000000" w:rsidRDefault="00000000" w:rsidRPr="00000000" w14:paraId="000000AF">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International Trade Theories: From Classical to Firm Heterogeneity</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theoretical frameworks explaining the determinants, patterns, and welfare gains of international trade have undergone significant evolution, transitioning from rudimentary models of labor productivity to highly complex models involving factor endowments, economies of scale, and firm-level dynamics.</w:t>
      </w:r>
      <w:r w:rsidDel="00000000" w:rsidR="00000000" w:rsidRPr="00000000">
        <w:rPr>
          <w:rFonts w:ascii="Google Sans Text" w:cs="Google Sans Text" w:eastAsia="Google Sans Text" w:hAnsi="Google Sans Text"/>
          <w:color w:val="444746"/>
          <w:sz w:val="24"/>
          <w:szCs w:val="24"/>
          <w:vertAlign w:val="superscript"/>
          <w:rtl w:val="0"/>
        </w:rPr>
        <w:t xml:space="preserve">100</w:t>
      </w:r>
    </w:p>
    <w:p w:rsidR="00000000" w:rsidDel="00000000" w:rsidP="00000000" w:rsidRDefault="00000000" w:rsidRPr="00000000" w14:paraId="000000B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Classical Trade Theories and Offer Curves</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earliest theoretical formulations emerged in opposition to Mercantilism, which erroneously viewed global wealth as static and advocated for aggressive export promotion and import restriction to accumulate precious metals.</w:t>
      </w:r>
      <w:r w:rsidDel="00000000" w:rsidR="00000000" w:rsidRPr="00000000">
        <w:rPr>
          <w:rFonts w:ascii="Google Sans Text" w:cs="Google Sans Text" w:eastAsia="Google Sans Text" w:hAnsi="Google Sans Text"/>
          <w:color w:val="444746"/>
          <w:sz w:val="24"/>
          <w:szCs w:val="24"/>
          <w:vertAlign w:val="superscript"/>
          <w:rtl w:val="0"/>
        </w:rPr>
        <w:t xml:space="preserve">101</w:t>
      </w:r>
      <w:r w:rsidDel="00000000" w:rsidR="00000000" w:rsidRPr="00000000">
        <w:rPr>
          <w:rFonts w:ascii="Google Sans Text" w:cs="Google Sans Text" w:eastAsia="Google Sans Text" w:hAnsi="Google Sans Text"/>
          <w:color w:val="1f1f1f"/>
          <w:rtl w:val="0"/>
        </w:rPr>
        <w:t xml:space="preserve"> In 1776, Adam Smith dismantled this zero-sum view by introducing the theory of </w:t>
      </w:r>
      <w:r w:rsidDel="00000000" w:rsidR="00000000" w:rsidRPr="00000000">
        <w:rPr>
          <w:rFonts w:ascii="Google Sans Text" w:cs="Google Sans Text" w:eastAsia="Google Sans Text" w:hAnsi="Google Sans Text"/>
          <w:b w:val="1"/>
          <w:bCs w:val="1"/>
          <w:color w:val="1f1f1f"/>
          <w:rtl w:val="0"/>
        </w:rPr>
        <w:t xml:space="preserve">Absolute Advantage</w:t>
      </w:r>
      <w:r w:rsidDel="00000000" w:rsidR="00000000" w:rsidRPr="00000000">
        <w:rPr>
          <w:rFonts w:ascii="Google Sans Text" w:cs="Google Sans Text" w:eastAsia="Google Sans Text" w:hAnsi="Google Sans Text"/>
          <w:color w:val="1f1f1f"/>
          <w:rtl w:val="0"/>
        </w:rPr>
        <w:t xml:space="preserve">. Smith argued that mutually beneficial trade arises when each nation specializes in producing and exporting the commodity it can produce at a lower absolute cost (requiring less labor) than its trading partner.</w:t>
      </w:r>
      <w:r w:rsidDel="00000000" w:rsidR="00000000" w:rsidRPr="00000000">
        <w:rPr>
          <w:rFonts w:ascii="Google Sans Text" w:cs="Google Sans Text" w:eastAsia="Google Sans Text" w:hAnsi="Google Sans Text"/>
          <w:color w:val="444746"/>
          <w:sz w:val="24"/>
          <w:szCs w:val="24"/>
          <w:vertAlign w:val="superscript"/>
          <w:rtl w:val="0"/>
        </w:rPr>
        <w:t xml:space="preserve">102</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However, Smith's theory failed to explain why trade occurs if one nation is absolutely more efficient in producing </w:t>
      </w:r>
      <w:r w:rsidDel="00000000" w:rsidR="00000000" w:rsidRPr="00000000">
        <w:rPr>
          <w:rFonts w:ascii="Google Sans Text" w:cs="Google Sans Text" w:eastAsia="Google Sans Text" w:hAnsi="Google Sans Text"/>
          <w:i w:val="1"/>
          <w:iCs w:val="1"/>
          <w:color w:val="1f1f1f"/>
          <w:rtl w:val="0"/>
        </w:rPr>
        <w:t xml:space="preserve">all</w:t>
      </w:r>
      <w:r w:rsidDel="00000000" w:rsidR="00000000" w:rsidRPr="00000000">
        <w:rPr>
          <w:rFonts w:ascii="Google Sans Text" w:cs="Google Sans Text" w:eastAsia="Google Sans Text" w:hAnsi="Google Sans Text"/>
          <w:color w:val="1f1f1f"/>
          <w:rtl w:val="0"/>
        </w:rPr>
        <w:t xml:space="preserve"> goods. David Ricardo resolved this in 1817 with the monumental theory of </w:t>
      </w:r>
      <w:r w:rsidDel="00000000" w:rsidR="00000000" w:rsidRPr="00000000">
        <w:rPr>
          <w:rFonts w:ascii="Google Sans Text" w:cs="Google Sans Text" w:eastAsia="Google Sans Text" w:hAnsi="Google Sans Text"/>
          <w:b w:val="1"/>
          <w:bCs w:val="1"/>
          <w:color w:val="1f1f1f"/>
          <w:rtl w:val="0"/>
        </w:rPr>
        <w:t xml:space="preserve">Comparative Advantage</w:t>
      </w:r>
      <w:r w:rsidDel="00000000" w:rsidR="00000000" w:rsidRPr="00000000">
        <w:rPr>
          <w:rFonts w:ascii="Google Sans Text" w:cs="Google Sans Text" w:eastAsia="Google Sans Text" w:hAnsi="Google Sans Text"/>
          <w:color w:val="1f1f1f"/>
          <w:rtl w:val="0"/>
        </w:rPr>
        <w:t xml:space="preserve">. Ricardo mathematically demonstrated that even if a country holds an absolute disadvantage across all sectors, trade remains mutually beneficial if nations specialize based on their lowest relative opportunity cost.</w:t>
      </w:r>
      <w:r w:rsidDel="00000000" w:rsidR="00000000" w:rsidRPr="00000000">
        <w:rPr>
          <w:rFonts w:ascii="Google Sans Text" w:cs="Google Sans Text" w:eastAsia="Google Sans Text" w:hAnsi="Google Sans Text"/>
          <w:color w:val="444746"/>
          <w:sz w:val="24"/>
          <w:szCs w:val="24"/>
          <w:vertAlign w:val="superscript"/>
          <w:rtl w:val="0"/>
        </w:rPr>
        <w:t xml:space="preserve">104</w:t>
      </w:r>
      <w:r w:rsidDel="00000000" w:rsidR="00000000" w:rsidRPr="00000000">
        <w:rPr>
          <w:rFonts w:ascii="Google Sans Text" w:cs="Google Sans Text" w:eastAsia="Google Sans Text" w:hAnsi="Google Sans Text"/>
          <w:color w:val="1f1f1f"/>
          <w:rtl w:val="0"/>
        </w:rPr>
        <w:t xml:space="preserve"> Both classical models were highly restrictive, assuming a 2x2 framework (two countries, two commodities), employing only a single factor of production (labor), and assuming constant returns to scale.</w:t>
      </w:r>
      <w:r w:rsidDel="00000000" w:rsidR="00000000" w:rsidRPr="00000000">
        <w:rPr>
          <w:rFonts w:ascii="Google Sans Text" w:cs="Google Sans Text" w:eastAsia="Google Sans Text" w:hAnsi="Google Sans Text"/>
          <w:color w:val="444746"/>
          <w:sz w:val="24"/>
          <w:szCs w:val="24"/>
          <w:vertAlign w:val="superscript"/>
          <w:rtl w:val="0"/>
        </w:rPr>
        <w:t xml:space="preserve">101</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To operationalize these models and determine the precise international equilibrium prices at which trade occurs, economists Alfred Marshall and Francis Ysidro Edgeworth developed </w:t>
      </w:r>
      <w:r w:rsidDel="00000000" w:rsidR="00000000" w:rsidRPr="00000000">
        <w:rPr>
          <w:rFonts w:ascii="Google Sans Text" w:cs="Google Sans Text" w:eastAsia="Google Sans Text" w:hAnsi="Google Sans Text"/>
          <w:b w:val="1"/>
          <w:bCs w:val="1"/>
          <w:color w:val="1f1f1f"/>
          <w:rtl w:val="0"/>
        </w:rPr>
        <w:t xml:space="preserve">Offer Curves</w:t>
      </w:r>
      <w:r w:rsidDel="00000000" w:rsidR="00000000" w:rsidRPr="00000000">
        <w:rPr>
          <w:rFonts w:ascii="Google Sans Text" w:cs="Google Sans Text" w:eastAsia="Google Sans Text" w:hAnsi="Google Sans Text"/>
          <w:color w:val="1f1f1f"/>
          <w:rtl w:val="0"/>
        </w:rPr>
        <w:t xml:space="preserve"> (or reciprocal demand curves).</w:t>
      </w:r>
      <w:r w:rsidDel="00000000" w:rsidR="00000000" w:rsidRPr="00000000">
        <w:rPr>
          <w:rFonts w:ascii="Google Sans Text" w:cs="Google Sans Text" w:eastAsia="Google Sans Text" w:hAnsi="Google Sans Text"/>
          <w:color w:val="444746"/>
          <w:sz w:val="24"/>
          <w:szCs w:val="24"/>
          <w:vertAlign w:val="superscript"/>
          <w:rtl w:val="0"/>
        </w:rPr>
        <w:t xml:space="preserve">106</w:t>
      </w:r>
      <w:r w:rsidDel="00000000" w:rsidR="00000000" w:rsidRPr="00000000">
        <w:rPr>
          <w:rFonts w:ascii="Google Sans Text" w:cs="Google Sans Text" w:eastAsia="Google Sans Text" w:hAnsi="Google Sans Text"/>
          <w:color w:val="1f1f1f"/>
          <w:rtl w:val="0"/>
        </w:rPr>
        <w:t xml:space="preserve"> An offer curve graphically illustrates the various quantities of an export commodity a nation is willing to supply to the world market in exchange for specific quantities of an imported commodity at various relative prices.</w:t>
      </w:r>
      <w:r w:rsidDel="00000000" w:rsidR="00000000" w:rsidRPr="00000000">
        <w:rPr>
          <w:rFonts w:ascii="Google Sans Text" w:cs="Google Sans Text" w:eastAsia="Google Sans Text" w:hAnsi="Google Sans Text"/>
          <w:color w:val="444746"/>
          <w:sz w:val="24"/>
          <w:szCs w:val="24"/>
          <w:vertAlign w:val="superscript"/>
          <w:rtl w:val="0"/>
        </w:rPr>
        <w:t xml:space="preserve">107</w:t>
      </w:r>
      <w:r w:rsidDel="00000000" w:rsidR="00000000" w:rsidRPr="00000000">
        <w:rPr>
          <w:rFonts w:ascii="Google Sans Text" w:cs="Google Sans Text" w:eastAsia="Google Sans Text" w:hAnsi="Google Sans Text"/>
          <w:color w:val="1f1f1f"/>
          <w:rtl w:val="0"/>
        </w:rPr>
        <w:t xml:space="preserve"> The intersection of the offer curves of two trading nations simultaneously clears both markets and determines the equilibrium terms of trade, seamlessly integrating supply costs and domestic demand preferences into classical theory.</w:t>
      </w:r>
      <w:r w:rsidDel="00000000" w:rsidR="00000000" w:rsidRPr="00000000">
        <w:rPr>
          <w:rFonts w:ascii="Google Sans Text" w:cs="Google Sans Text" w:eastAsia="Google Sans Text" w:hAnsi="Google Sans Text"/>
          <w:color w:val="444746"/>
          <w:sz w:val="24"/>
          <w:szCs w:val="24"/>
          <w:vertAlign w:val="superscript"/>
          <w:rtl w:val="0"/>
        </w:rPr>
        <w:t xml:space="preserve">107</w:t>
      </w:r>
    </w:p>
    <w:p w:rsidR="00000000" w:rsidDel="00000000" w:rsidP="00000000" w:rsidRDefault="00000000" w:rsidRPr="00000000" w14:paraId="000000B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Neoclassical Synthesis: The Heckscher-Ohlin Framework</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 the 1920s and 1930s, Swedish economists Eli Heckscher and Bertil Ohlin shifted the analytical focus away from technological disparities (which Ricardo relied upon) to differences in national resource availability.</w:t>
      </w:r>
      <w:r w:rsidDel="00000000" w:rsidR="00000000" w:rsidRPr="00000000">
        <w:rPr>
          <w:rFonts w:ascii="Google Sans Text" w:cs="Google Sans Text" w:eastAsia="Google Sans Text" w:hAnsi="Google Sans Text"/>
          <w:color w:val="444746"/>
          <w:sz w:val="24"/>
          <w:szCs w:val="24"/>
          <w:vertAlign w:val="superscript"/>
          <w:rtl w:val="0"/>
        </w:rPr>
        <w:t xml:space="preserve">104</w:t>
      </w:r>
      <w:r w:rsidDel="00000000" w:rsidR="00000000" w:rsidRPr="00000000">
        <w:rPr>
          <w:rFonts w:ascii="Google Sans Text" w:cs="Google Sans Text" w:eastAsia="Google Sans Text" w:hAnsi="Google Sans Text"/>
          <w:color w:val="1f1f1f"/>
          <w:rtl w:val="0"/>
        </w:rPr>
        <w:t xml:space="preserve"> The resulting </w:t>
      </w:r>
      <w:r w:rsidDel="00000000" w:rsidR="00000000" w:rsidRPr="00000000">
        <w:rPr>
          <w:rFonts w:ascii="Google Sans Text" w:cs="Google Sans Text" w:eastAsia="Google Sans Text" w:hAnsi="Google Sans Text"/>
          <w:b w:val="1"/>
          <w:bCs w:val="1"/>
          <w:color w:val="1f1f1f"/>
          <w:rtl w:val="0"/>
        </w:rPr>
        <w:t xml:space="preserve">Heckscher-Ohlin (H-O) Model</w:t>
      </w:r>
      <w:r w:rsidDel="00000000" w:rsidR="00000000" w:rsidRPr="00000000">
        <w:rPr>
          <w:rFonts w:ascii="Google Sans Text" w:cs="Google Sans Text" w:eastAsia="Google Sans Text" w:hAnsi="Google Sans Text"/>
          <w:color w:val="1f1f1f"/>
          <w:rtl w:val="0"/>
        </w:rPr>
        <w:t xml:space="preserve"> (Factor Proportions Theory) incorporates two factors of production (capital and labor) and operates under the strict assumption that production technologies are universally identical across all countries.</w:t>
      </w:r>
      <w:r w:rsidDel="00000000" w:rsidR="00000000" w:rsidRPr="00000000">
        <w:rPr>
          <w:rFonts w:ascii="Google Sans Text" w:cs="Google Sans Text" w:eastAsia="Google Sans Text" w:hAnsi="Google Sans Text"/>
          <w:color w:val="444746"/>
          <w:sz w:val="24"/>
          <w:szCs w:val="24"/>
          <w:vertAlign w:val="superscript"/>
          <w:rtl w:val="0"/>
        </w:rPr>
        <w:t xml:space="preserve">109</w:t>
      </w:r>
      <w:r w:rsidDel="00000000" w:rsidR="00000000" w:rsidRPr="00000000">
        <w:rPr>
          <w:rFonts w:ascii="Google Sans Text" w:cs="Google Sans Text" w:eastAsia="Google Sans Text" w:hAnsi="Google Sans Text"/>
          <w:color w:val="1f1f1f"/>
          <w:rtl w:val="0"/>
        </w:rPr>
        <w:t xml:space="preserve"> The H-O theorem asserts that a nation possesses a comparative advantage in, and will therefore export, the commodity that requires intensive use of the nation's relatively abundant and cheap factor of production. Conversely, it will import the commodity whose production requires the intensive use of its relatively scarce and expensive factor.</w:t>
      </w:r>
      <w:r w:rsidDel="00000000" w:rsidR="00000000" w:rsidRPr="00000000">
        <w:rPr>
          <w:rFonts w:ascii="Google Sans Text" w:cs="Google Sans Text" w:eastAsia="Google Sans Text" w:hAnsi="Google Sans Text"/>
          <w:color w:val="444746"/>
          <w:sz w:val="24"/>
          <w:szCs w:val="24"/>
          <w:vertAlign w:val="superscript"/>
          <w:rtl w:val="0"/>
        </w:rPr>
        <w:t xml:space="preserve">104</w:t>
      </w:r>
      <w:r w:rsidDel="00000000" w:rsidR="00000000" w:rsidRPr="00000000">
        <w:rPr>
          <w:rFonts w:ascii="Google Sans Text" w:cs="Google Sans Text" w:eastAsia="Google Sans Text" w:hAnsi="Google Sans Text"/>
          <w:color w:val="1f1f1f"/>
          <w:rtl w:val="0"/>
        </w:rPr>
        <w:t xml:space="preserve"> For instance, a capital-abundant nation will export capital-intensive goods (e.g., machinery) and import labor-intensive goods (e.g., textiles).</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mathematical formalization of the H-O model by Paul Samuelson yielded critical corollary theorems that describe the profound internal macroeconomic effects of international trade </w:t>
      </w:r>
      <w:r w:rsidDel="00000000" w:rsidR="00000000" w:rsidRPr="00000000">
        <w:rPr>
          <w:rFonts w:ascii="Google Sans Text" w:cs="Google Sans Text" w:eastAsia="Google Sans Text" w:hAnsi="Google Sans Text"/>
          <w:color w:val="444746"/>
          <w:sz w:val="24"/>
          <w:szCs w:val="24"/>
          <w:vertAlign w:val="superscript"/>
          <w:rtl w:val="0"/>
        </w:rPr>
        <w:t xml:space="preserve">110</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B8">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The Stolper-Samuelson Theorem:</w:t>
      </w:r>
      <w:r w:rsidDel="00000000" w:rsidR="00000000" w:rsidRPr="00000000">
        <w:rPr>
          <w:rFonts w:ascii="Google Sans Text" w:cs="Google Sans Text" w:eastAsia="Google Sans Text" w:hAnsi="Google Sans Text"/>
          <w:color w:val="1f1f1f"/>
          <w:rtl w:val="0"/>
        </w:rPr>
        <w:t xml:space="preserve"> This theorem illuminates the distributional conflicts inherent in trade liberalization. It proves that an increase in the relative price of a traded commodity (due to opening up to trade or imposing tariffs) will lead to an absolute increase in the real returns (wages or rent) of the factor used intensively in its production, and an absolute decrease in the real returns to the scarce factor.</w:t>
      </w:r>
      <w:r w:rsidDel="00000000" w:rsidR="00000000" w:rsidRPr="00000000">
        <w:rPr>
          <w:rFonts w:ascii="Google Sans Text" w:cs="Google Sans Text" w:eastAsia="Google Sans Text" w:hAnsi="Google Sans Text"/>
          <w:color w:val="444746"/>
          <w:sz w:val="24"/>
          <w:szCs w:val="24"/>
          <w:vertAlign w:val="superscript"/>
          <w:rtl w:val="0"/>
        </w:rPr>
        <w:t xml:space="preserve">110</w:t>
      </w:r>
      <w:r w:rsidDel="00000000" w:rsidR="00000000" w:rsidRPr="00000000">
        <w:rPr>
          <w:rFonts w:ascii="Google Sans Text" w:cs="Google Sans Text" w:eastAsia="Google Sans Text" w:hAnsi="Google Sans Text"/>
          <w:color w:val="1f1f1f"/>
          <w:rtl w:val="0"/>
        </w:rPr>
        <w:t xml:space="preserve"> Thus, in a labor-abundant country, free trade unequivocally benefits workers and hurts capital owners.</w:t>
      </w:r>
    </w:p>
    <w:p w:rsidR="00000000" w:rsidDel="00000000" w:rsidP="00000000" w:rsidRDefault="00000000" w:rsidRPr="00000000" w14:paraId="000000B9">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The Rybczynski Theorem:</w:t>
      </w:r>
      <w:r w:rsidDel="00000000" w:rsidR="00000000" w:rsidRPr="00000000">
        <w:rPr>
          <w:rFonts w:ascii="Google Sans Text" w:cs="Google Sans Text" w:eastAsia="Google Sans Text" w:hAnsi="Google Sans Text"/>
          <w:color w:val="1f1f1f"/>
          <w:rtl w:val="0"/>
        </w:rPr>
        <w:t xml:space="preserve"> This theorem explores economic growth within an open economy. It demonstrates that at constant world commodity prices, an exogenous increase in the endowment of one factor of production will result in a disproportionate, absolute expansion in the output of the industry that uses that factor intensively, while simultaneously causing an absolute contraction in the output of the other industry.</w:t>
      </w:r>
      <w:r w:rsidDel="00000000" w:rsidR="00000000" w:rsidRPr="00000000">
        <w:rPr>
          <w:rFonts w:ascii="Google Sans Text" w:cs="Google Sans Text" w:eastAsia="Google Sans Text" w:hAnsi="Google Sans Text"/>
          <w:color w:val="444746"/>
          <w:sz w:val="24"/>
          <w:szCs w:val="24"/>
          <w:vertAlign w:val="superscript"/>
          <w:rtl w:val="0"/>
        </w:rPr>
        <w:t xml:space="preserve">112</w:t>
      </w:r>
    </w:p>
    <w:p w:rsidR="00000000" w:rsidDel="00000000" w:rsidP="00000000" w:rsidRDefault="00000000" w:rsidRPr="00000000" w14:paraId="000000BA">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The Factor Price Equalization (FPE) Theorem:</w:t>
      </w:r>
      <w:r w:rsidDel="00000000" w:rsidR="00000000" w:rsidRPr="00000000">
        <w:rPr>
          <w:rFonts w:ascii="Google Sans Text" w:cs="Google Sans Text" w:eastAsia="Google Sans Text" w:hAnsi="Google Sans Text"/>
          <w:color w:val="1f1f1f"/>
          <w:rtl w:val="0"/>
        </w:rPr>
        <w:t xml:space="preserve"> Also formulated by Samuelson, FPE argues that under strict assumptions (identical technologies, absence of transport costs, incomplete specialization), the free trade of commodities will act as a perfect substitute for the international mobility of factors, eventually leading to the complete equalization of factor prices (wages and rental rates) across all trading nations.</w:t>
      </w:r>
      <w:r w:rsidDel="00000000" w:rsidR="00000000" w:rsidRPr="00000000">
        <w:rPr>
          <w:rFonts w:ascii="Google Sans Text" w:cs="Google Sans Text" w:eastAsia="Google Sans Text" w:hAnsi="Google Sans Text"/>
          <w:color w:val="444746"/>
          <w:sz w:val="24"/>
          <w:szCs w:val="24"/>
          <w:vertAlign w:val="superscript"/>
          <w:rtl w:val="0"/>
        </w:rPr>
        <w:t xml:space="preserve">109</w:t>
      </w:r>
    </w:p>
    <w:p w:rsidR="00000000" w:rsidDel="00000000" w:rsidP="00000000" w:rsidRDefault="00000000" w:rsidRPr="00000000" w14:paraId="000000BB">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Modern Paradigms: New Trade Theory and Firm Heterogeneity</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By the late 20th century, empirical observations heavily contradicted the H-O model. A significant proportion of global trade was occurring between developed nations possessing identical factor endowments (e.g., the US and Europe) and involved the exchange of similar manufactured goods (intra-industry trade).</w:t>
      </w:r>
      <w:r w:rsidDel="00000000" w:rsidR="00000000" w:rsidRPr="00000000">
        <w:rPr>
          <w:rFonts w:ascii="Google Sans Text" w:cs="Google Sans Text" w:eastAsia="Google Sans Text" w:hAnsi="Google Sans Text"/>
          <w:color w:val="444746"/>
          <w:sz w:val="24"/>
          <w:szCs w:val="24"/>
          <w:vertAlign w:val="superscript"/>
          <w:rtl w:val="0"/>
        </w:rPr>
        <w:t xml:space="preserve">114</w:t>
      </w:r>
      <w:r w:rsidDel="00000000" w:rsidR="00000000" w:rsidRPr="00000000">
        <w:rPr>
          <w:rFonts w:ascii="Google Sans Text" w:cs="Google Sans Text" w:eastAsia="Google Sans Text" w:hAnsi="Google Sans Text"/>
          <w:color w:val="1f1f1f"/>
          <w:rtl w:val="0"/>
        </w:rPr>
        <w:t xml:space="preserve"> To explain these phenomena, new dynamic models emerged. Staffan Burenstam Linder proposed the </w:t>
      </w:r>
      <w:r w:rsidDel="00000000" w:rsidR="00000000" w:rsidRPr="00000000">
        <w:rPr>
          <w:rFonts w:ascii="Google Sans Text" w:cs="Google Sans Text" w:eastAsia="Google Sans Text" w:hAnsi="Google Sans Text"/>
          <w:b w:val="1"/>
          <w:bCs w:val="1"/>
          <w:color w:val="1f1f1f"/>
          <w:rtl w:val="0"/>
        </w:rPr>
        <w:t xml:space="preserve">Linder Hypothesis</w:t>
      </w:r>
      <w:r w:rsidDel="00000000" w:rsidR="00000000" w:rsidRPr="00000000">
        <w:rPr>
          <w:rFonts w:ascii="Google Sans Text" w:cs="Google Sans Text" w:eastAsia="Google Sans Text" w:hAnsi="Google Sans Text"/>
          <w:color w:val="1f1f1f"/>
          <w:rtl w:val="0"/>
        </w:rPr>
        <w:t xml:space="preserve"> (Overlapping Demand), asserting that trade in manufactured goods is driven not by supply-side factor endowments, but by similarities in per capita income and consumer preferences; nations develop industries to serve their domestic market and subsequently export those goods to nations with similar demand structures.</w:t>
      </w:r>
      <w:r w:rsidDel="00000000" w:rsidR="00000000" w:rsidRPr="00000000">
        <w:rPr>
          <w:rFonts w:ascii="Google Sans Text" w:cs="Google Sans Text" w:eastAsia="Google Sans Text" w:hAnsi="Google Sans Text"/>
          <w:color w:val="444746"/>
          <w:sz w:val="24"/>
          <w:szCs w:val="24"/>
          <w:vertAlign w:val="superscript"/>
          <w:rtl w:val="0"/>
        </w:rPr>
        <w:t xml:space="preserve">115</w:t>
      </w:r>
      <w:r w:rsidDel="00000000" w:rsidR="00000000" w:rsidRPr="00000000">
        <w:rPr>
          <w:rFonts w:ascii="Google Sans Text" w:cs="Google Sans Text" w:eastAsia="Google Sans Text" w:hAnsi="Google Sans Text"/>
          <w:color w:val="1f1f1f"/>
          <w:rtl w:val="0"/>
        </w:rPr>
        <w:t xml:space="preserve"> Similarly, the </w:t>
      </w:r>
      <w:r w:rsidDel="00000000" w:rsidR="00000000" w:rsidRPr="00000000">
        <w:rPr>
          <w:rFonts w:ascii="Google Sans Text" w:cs="Google Sans Text" w:eastAsia="Google Sans Text" w:hAnsi="Google Sans Text"/>
          <w:b w:val="1"/>
          <w:bCs w:val="1"/>
          <w:color w:val="1f1f1f"/>
          <w:rtl w:val="0"/>
        </w:rPr>
        <w:t xml:space="preserve">Technological Gap Model</w:t>
      </w:r>
      <w:r w:rsidDel="00000000" w:rsidR="00000000" w:rsidRPr="00000000">
        <w:rPr>
          <w:rFonts w:ascii="Google Sans Text" w:cs="Google Sans Text" w:eastAsia="Google Sans Text" w:hAnsi="Google Sans Text"/>
          <w:color w:val="1f1f1f"/>
          <w:rtl w:val="0"/>
        </w:rPr>
        <w:t xml:space="preserve"> (Michael Posner, 1961) and the </w:t>
      </w:r>
      <w:r w:rsidDel="00000000" w:rsidR="00000000" w:rsidRPr="00000000">
        <w:rPr>
          <w:rFonts w:ascii="Google Sans Text" w:cs="Google Sans Text" w:eastAsia="Google Sans Text" w:hAnsi="Google Sans Text"/>
          <w:b w:val="1"/>
          <w:bCs w:val="1"/>
          <w:color w:val="1f1f1f"/>
          <w:rtl w:val="0"/>
        </w:rPr>
        <w:t xml:space="preserve">Product Life Cycle Theory</w:t>
      </w:r>
      <w:r w:rsidDel="00000000" w:rsidR="00000000" w:rsidRPr="00000000">
        <w:rPr>
          <w:rFonts w:ascii="Google Sans Text" w:cs="Google Sans Text" w:eastAsia="Google Sans Text" w:hAnsi="Google Sans Text"/>
          <w:color w:val="1f1f1f"/>
          <w:rtl w:val="0"/>
        </w:rPr>
        <w:t xml:space="preserve"> (Raymond Vernon, 1966) introduced time as a variable, demonstrating how comparative advantage in innovative products shifts sequentially from developed innovating nations to developing nations as technology diffuses and production standardizes.</w:t>
      </w:r>
      <w:r w:rsidDel="00000000" w:rsidR="00000000" w:rsidRPr="00000000">
        <w:rPr>
          <w:rFonts w:ascii="Google Sans Text" w:cs="Google Sans Text" w:eastAsia="Google Sans Text" w:hAnsi="Google Sans Text"/>
          <w:color w:val="444746"/>
          <w:sz w:val="24"/>
          <w:szCs w:val="24"/>
          <w:vertAlign w:val="superscript"/>
          <w:rtl w:val="0"/>
        </w:rPr>
        <w:t xml:space="preserve">117</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most profound theoretical leap occurred in the late 1970s with Paul Krugman's </w:t>
      </w:r>
      <w:r w:rsidDel="00000000" w:rsidR="00000000" w:rsidRPr="00000000">
        <w:rPr>
          <w:rFonts w:ascii="Google Sans Text" w:cs="Google Sans Text" w:eastAsia="Google Sans Text" w:hAnsi="Google Sans Text"/>
          <w:b w:val="1"/>
          <w:bCs w:val="1"/>
          <w:color w:val="1f1f1f"/>
          <w:rtl w:val="0"/>
        </w:rPr>
        <w:t xml:space="preserve">New Trade Theory (NTT)</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114</w:t>
      </w:r>
      <w:r w:rsidDel="00000000" w:rsidR="00000000" w:rsidRPr="00000000">
        <w:rPr>
          <w:rFonts w:ascii="Google Sans Text" w:cs="Google Sans Text" w:eastAsia="Google Sans Text" w:hAnsi="Google Sans Text"/>
          <w:color w:val="1f1f1f"/>
          <w:rtl w:val="0"/>
        </w:rPr>
        <w:t xml:space="preserve"> NTT abandons the restrictive classical assumptions of constant returns to scale and perfect competition.</w:t>
      </w:r>
      <w:r w:rsidDel="00000000" w:rsidR="00000000" w:rsidRPr="00000000">
        <w:rPr>
          <w:rFonts w:ascii="Google Sans Text" w:cs="Google Sans Text" w:eastAsia="Google Sans Text" w:hAnsi="Google Sans Text"/>
          <w:color w:val="444746"/>
          <w:sz w:val="24"/>
          <w:szCs w:val="24"/>
          <w:vertAlign w:val="superscript"/>
          <w:rtl w:val="0"/>
        </w:rPr>
        <w:t xml:space="preserve">114</w:t>
      </w:r>
      <w:r w:rsidDel="00000000" w:rsidR="00000000" w:rsidRPr="00000000">
        <w:rPr>
          <w:rFonts w:ascii="Google Sans Text" w:cs="Google Sans Text" w:eastAsia="Google Sans Text" w:hAnsi="Google Sans Text"/>
          <w:color w:val="1f1f1f"/>
          <w:rtl w:val="0"/>
        </w:rPr>
        <w:t xml:space="preserve"> Instead, it posits that international trade is primarily driven by </w:t>
      </w:r>
      <w:r w:rsidDel="00000000" w:rsidR="00000000" w:rsidRPr="00000000">
        <w:rPr>
          <w:rFonts w:ascii="Google Sans Text" w:cs="Google Sans Text" w:eastAsia="Google Sans Text" w:hAnsi="Google Sans Text"/>
          <w:i w:val="1"/>
          <w:iCs w:val="1"/>
          <w:color w:val="1f1f1f"/>
          <w:rtl w:val="0"/>
        </w:rPr>
        <w:t xml:space="preserve">internal economies of scale</w:t>
      </w:r>
      <w:r w:rsidDel="00000000" w:rsidR="00000000" w:rsidRPr="00000000">
        <w:rPr>
          <w:rFonts w:ascii="Google Sans Text" w:cs="Google Sans Text" w:eastAsia="Google Sans Text" w:hAnsi="Google Sans Text"/>
          <w:color w:val="1f1f1f"/>
          <w:rtl w:val="0"/>
        </w:rPr>
        <w:t xml:space="preserve"> and consumers' "love for variety".</w:t>
      </w:r>
      <w:r w:rsidDel="00000000" w:rsidR="00000000" w:rsidRPr="00000000">
        <w:rPr>
          <w:rFonts w:ascii="Google Sans Text" w:cs="Google Sans Text" w:eastAsia="Google Sans Text" w:hAnsi="Google Sans Text"/>
          <w:color w:val="444746"/>
          <w:sz w:val="24"/>
          <w:szCs w:val="24"/>
          <w:vertAlign w:val="superscript"/>
          <w:rtl w:val="0"/>
        </w:rPr>
        <w:t xml:space="preserve">114</w:t>
      </w:r>
      <w:r w:rsidDel="00000000" w:rsidR="00000000" w:rsidRPr="00000000">
        <w:rPr>
          <w:rFonts w:ascii="Google Sans Text" w:cs="Google Sans Text" w:eastAsia="Google Sans Text" w:hAnsi="Google Sans Text"/>
          <w:color w:val="1f1f1f"/>
          <w:rtl w:val="0"/>
        </w:rPr>
        <w:t xml:space="preserve"> In a market characterized by monopolistic competition, increasing returns dictate that a firm must produce at high volumes to lower average costs. Consequently, it is impossible for every country to produce every variety of a good efficiently. Therefore, even countries with perfectly identical factor endowments and technologies will benefit from trade. They will specialize in producing a limited number of specific product varieties, achieving massive economies of scale, and trade these varieties with one another, resulting in high volumes of intra-industry trade.</w:t>
      </w:r>
      <w:r w:rsidDel="00000000" w:rsidR="00000000" w:rsidRPr="00000000">
        <w:rPr>
          <w:rFonts w:ascii="Google Sans Text" w:cs="Google Sans Text" w:eastAsia="Google Sans Text" w:hAnsi="Google Sans Text"/>
          <w:color w:val="444746"/>
          <w:sz w:val="24"/>
          <w:szCs w:val="24"/>
          <w:vertAlign w:val="superscript"/>
          <w:rtl w:val="0"/>
        </w:rPr>
        <w:t xml:space="preserve">114</w:t>
      </w:r>
      <w:r w:rsidDel="00000000" w:rsidR="00000000" w:rsidRPr="00000000">
        <w:rPr>
          <w:rFonts w:ascii="Google Sans Text" w:cs="Google Sans Text" w:eastAsia="Google Sans Text" w:hAnsi="Google Sans Text"/>
          <w:color w:val="1f1f1f"/>
          <w:rtl w:val="0"/>
        </w:rPr>
        <w:t xml:space="preserve"> Concurrently, empirical analysis became heavily reliant on the </w:t>
      </w:r>
      <w:r w:rsidDel="00000000" w:rsidR="00000000" w:rsidRPr="00000000">
        <w:rPr>
          <w:rFonts w:ascii="Google Sans Text" w:cs="Google Sans Text" w:eastAsia="Google Sans Text" w:hAnsi="Google Sans Text"/>
          <w:b w:val="1"/>
          <w:bCs w:val="1"/>
          <w:color w:val="1f1f1f"/>
          <w:rtl w:val="0"/>
        </w:rPr>
        <w:t xml:space="preserve">Gravity Model of Trade</w:t>
      </w:r>
      <w:r w:rsidDel="00000000" w:rsidR="00000000" w:rsidRPr="00000000">
        <w:rPr>
          <w:rFonts w:ascii="Google Sans Text" w:cs="Google Sans Text" w:eastAsia="Google Sans Text" w:hAnsi="Google Sans Text"/>
          <w:color w:val="1f1f1f"/>
          <w:rtl w:val="0"/>
        </w:rPr>
        <w:t xml:space="preserve">, which accurately predicts that bilateral trade flows are directly proportional to the economic mass (GDP) of the trading partners and inversely proportional to the geographical distance (a proxy for transport and transaction costs) separating them.</w:t>
      </w:r>
      <w:r w:rsidDel="00000000" w:rsidR="00000000" w:rsidRPr="00000000">
        <w:rPr>
          <w:rFonts w:ascii="Google Sans Text" w:cs="Google Sans Text" w:eastAsia="Google Sans Text" w:hAnsi="Google Sans Text"/>
          <w:color w:val="444746"/>
          <w:sz w:val="24"/>
          <w:szCs w:val="24"/>
          <w:vertAlign w:val="superscript"/>
          <w:rtl w:val="0"/>
        </w:rPr>
        <w:t xml:space="preserve">121</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Finally, the dawn of the 21st century saw the advent of "New-New Trade Theory," pioneered by Marc Melitz in 2003 with his model of </w:t>
      </w:r>
      <w:r w:rsidDel="00000000" w:rsidR="00000000" w:rsidRPr="00000000">
        <w:rPr>
          <w:rFonts w:ascii="Google Sans Text" w:cs="Google Sans Text" w:eastAsia="Google Sans Text" w:hAnsi="Google Sans Text"/>
          <w:b w:val="1"/>
          <w:bCs w:val="1"/>
          <w:color w:val="1f1f1f"/>
          <w:rtl w:val="0"/>
        </w:rPr>
        <w:t xml:space="preserve">Firm Heterogeneity</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123</w:t>
      </w:r>
      <w:r w:rsidDel="00000000" w:rsidR="00000000" w:rsidRPr="00000000">
        <w:rPr>
          <w:rFonts w:ascii="Google Sans Text" w:cs="Google Sans Text" w:eastAsia="Google Sans Text" w:hAnsi="Google Sans Text"/>
          <w:color w:val="1f1f1f"/>
          <w:rtl w:val="0"/>
        </w:rPr>
        <w:t xml:space="preserve"> While Krugman's NTT assumed all firms within an industry were identical, empirical micro-data revealed that only a small fraction of firms actually export, and those exporters are invariably larger and more productive than non-exporters.</w:t>
      </w:r>
      <w:r w:rsidDel="00000000" w:rsidR="00000000" w:rsidRPr="00000000">
        <w:rPr>
          <w:rFonts w:ascii="Google Sans Text" w:cs="Google Sans Text" w:eastAsia="Google Sans Text" w:hAnsi="Google Sans Text"/>
          <w:color w:val="444746"/>
          <w:sz w:val="24"/>
          <w:szCs w:val="24"/>
          <w:vertAlign w:val="superscript"/>
          <w:rtl w:val="0"/>
        </w:rPr>
        <w:t xml:space="preserve">123</w:t>
      </w:r>
      <w:r w:rsidDel="00000000" w:rsidR="00000000" w:rsidRPr="00000000">
        <w:rPr>
          <w:rFonts w:ascii="Google Sans Text" w:cs="Google Sans Text" w:eastAsia="Google Sans Text" w:hAnsi="Google Sans Text"/>
          <w:color w:val="1f1f1f"/>
          <w:rtl w:val="0"/>
        </w:rPr>
        <w:t xml:space="preserve"> Melitz integrated firm-level productivity differences into the monopolistic competition framework, introducing significant fixed sunk costs associated with entering foreign markets.</w:t>
      </w:r>
      <w:r w:rsidDel="00000000" w:rsidR="00000000" w:rsidRPr="00000000">
        <w:rPr>
          <w:rFonts w:ascii="Google Sans Text" w:cs="Google Sans Text" w:eastAsia="Google Sans Text" w:hAnsi="Google Sans Text"/>
          <w:color w:val="444746"/>
          <w:sz w:val="24"/>
          <w:szCs w:val="24"/>
          <w:vertAlign w:val="superscript"/>
          <w:rtl w:val="0"/>
        </w:rPr>
        <w:t xml:space="preserve">123</w:t>
      </w:r>
      <w:r w:rsidDel="00000000" w:rsidR="00000000" w:rsidRPr="00000000">
        <w:rPr>
          <w:rFonts w:ascii="Google Sans Text" w:cs="Google Sans Text" w:eastAsia="Google Sans Text" w:hAnsi="Google Sans Text"/>
          <w:color w:val="1f1f1f"/>
          <w:rtl w:val="0"/>
        </w:rPr>
        <w:t xml:space="preserve"> Because only the most highly productive firms generate sufficient operating profits to overcome these fixed export costs, there is a distinct "self-selection" mechanism.</w:t>
      </w:r>
      <w:r w:rsidDel="00000000" w:rsidR="00000000" w:rsidRPr="00000000">
        <w:rPr>
          <w:rFonts w:ascii="Google Sans Text" w:cs="Google Sans Text" w:eastAsia="Google Sans Text" w:hAnsi="Google Sans Text"/>
          <w:color w:val="444746"/>
          <w:sz w:val="24"/>
          <w:szCs w:val="24"/>
          <w:vertAlign w:val="superscript"/>
          <w:rtl w:val="0"/>
        </w:rPr>
        <w:t xml:space="preserve">123</w:t>
      </w:r>
      <w:r w:rsidDel="00000000" w:rsidR="00000000" w:rsidRPr="00000000">
        <w:rPr>
          <w:rFonts w:ascii="Google Sans Text" w:cs="Google Sans Text" w:eastAsia="Google Sans Text" w:hAnsi="Google Sans Text"/>
          <w:color w:val="1f1f1f"/>
          <w:rtl w:val="0"/>
        </w:rPr>
        <w:t xml:space="preserve"> When an economy undergoes trade liberalization and trade costs fall, the most productive firms seamlessly expand into export markets, driving up factor demand. Simultaneously, the least productive domestic firms, unable to compete with incoming foreign varieties and facing higher factor costs, are forced into bankruptcy.</w:t>
      </w:r>
      <w:r w:rsidDel="00000000" w:rsidR="00000000" w:rsidRPr="00000000">
        <w:rPr>
          <w:rFonts w:ascii="Google Sans Text" w:cs="Google Sans Text" w:eastAsia="Google Sans Text" w:hAnsi="Google Sans Text"/>
          <w:color w:val="444746"/>
          <w:sz w:val="24"/>
          <w:szCs w:val="24"/>
          <w:vertAlign w:val="superscript"/>
          <w:rtl w:val="0"/>
        </w:rPr>
        <w:t xml:space="preserve">124</w:t>
      </w:r>
      <w:r w:rsidDel="00000000" w:rsidR="00000000" w:rsidRPr="00000000">
        <w:rPr>
          <w:rFonts w:ascii="Google Sans Text" w:cs="Google Sans Text" w:eastAsia="Google Sans Text" w:hAnsi="Google Sans Text"/>
          <w:color w:val="1f1f1f"/>
          <w:rtl w:val="0"/>
        </w:rPr>
        <w:t xml:space="preserve"> This Darwinian intra-industry reallocation of market share from the least to the most productive firms generates a massive aggregate productivity gain for the entire industry, identifying a powerful new mechanism of welfare gains from international trade previously uncaptured by both Ricardian and Heckscher-Ohlin models.</w:t>
      </w:r>
      <w:r w:rsidDel="00000000" w:rsidR="00000000" w:rsidRPr="00000000">
        <w:rPr>
          <w:rFonts w:ascii="Google Sans Text" w:cs="Google Sans Text" w:eastAsia="Google Sans Text" w:hAnsi="Google Sans Text"/>
          <w:color w:val="444746"/>
          <w:sz w:val="24"/>
          <w:szCs w:val="24"/>
          <w:vertAlign w:val="superscript"/>
          <w:rtl w:val="0"/>
        </w:rPr>
        <w:t xml:space="preserve">124</w:t>
      </w:r>
    </w:p>
    <w:p w:rsidR="00000000" w:rsidDel="00000000" w:rsidP="00000000" w:rsidRDefault="00000000" w:rsidRPr="00000000" w14:paraId="000000BF">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Appendix: Rapid Revision Questionnaire for CUET Economics</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 Who executed the first scientific estimation of India's national income during the colonial era, and what was the methodological breakthrough?</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Dr. V.K.R.V. Rao provided the first scientific estimate for 1931-32. He innovated by bifurcating the economy, utilizing the census of output method for the agricultural sector and the census of income method for the corporate and services sectors.</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Q2. What is the historical and economic significance of Dadabhai Naoroji's 1867-68 national income estimate?</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Naoroji generated the earliest national income estimate (calculating per capita income at ₹20). Crucially, he developed the "Jail Cost of Living" methodology to calculate a rudimentary poverty line, providing the empirical foundation required to construct the "Drain of Wealth" theory.</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Q3. Why is the year 1921 designated as the "Year of the Great Divide" in Indian demographic history?</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It marks the critical transition from a phase of stagnant, highly fluctuating population growth (due to catastrophic mortality from famines/epidemics) to a phase of continuous, steady demographic expansion as mortality rates began a secular decline.</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Q4. Differentiate the structural mechanics of the Zamindari and Ryotwari land revenue systems.</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In the Zamindari system (Permanent Settlement, 1793), intermediaries (Zamindars) were granted absolute land ownership and liability for a permanently fixed revenue payment to the state. In the Ryotwari system (1820), the state established a direct relationship with the peasant (ryot), recognizing their ownership, but the crushing tax rates were subject to periodic, upward revision.</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Q5. Outline the chronological evolution of major Famine Commissions under British rule and highlight the central contribution of the Strachey Commission.</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The chronology is: Campbell (1866) → Strachey (1880) → Lyall (1896) → MacDonnell (1900) → Woodhead (1944). The Sir Richard Strachey Commission's paramount contribution was recommending the creation of the comprehensive "Famine Code" of 1883, which standardized relief, mandated early warning systems, and halted revenue collection during distress.</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Q6. Summarize the core arguments of the de-industrialization debate between Morris D. Morris and Bipan Chandra.</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The revisionist Morris argued that de-industrialization was a myth, claiming that a growing population and rising per capita income expanded the domestic market sufficiently to absorb British imports alongside local textiles. Nationalist Bipan Chandra refuted this using empirical data (yarn-to-cloth import ratios) to prove British machine goods directly displaced weavers, while citing famine reports to demonstrate that per capita income had actually stagnated.</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Q7. What constituted the "Triple Formula" under the 1923 policy of Discriminating Protection?</w:t>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To receive tariff protection, an Indian industry had to definitively prove: 1) It possessed natural advantages (abundant raw materials, cheap labor), 2) It could not develop without state protection, and 3) It possessed the ultimate capability to face international competition without assistance.</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Q8. Enumerate the primary financial components comprising the "Home Charges" that fueled the Drain of Wealth.</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Home Charges included interest payments on public debt raised in England, civil and military pensions for retired British officials, the administrative maintenance costs of the India Office in London, and expenditures on military stores and equipment purchased from British firms.</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Q9. Trace the evolutionary trajectory of rural wage employment programs leading to the MGNREGA.</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The trajectory advanced from NREP (1980) and RLEGP (1983), which were merged to create the decentralized JRY (1989). JRY was later restructured into SGRY (2001), which was eventually subsumed by the rights-based MGNREGA entitlement framework in 2005/2006.</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Q10. Based on the Economic Survey 2025-26, what are the projected Real GDP growth rates and recent retail inflation metrics for the Indian economy?</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Real GDP is estimated to grow at 7.4% for FY26 and is projected robustly between 6.8% and 7.2% for FY27. Retail headline inflation experienced a massive disinflationary trend, averaging a historic low of 1.7% between April and December 2025.</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Q11. What is the revised fiscal deficit trajectory for the central government as stipulated in the Union Budget 2026-27?</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The fiscal deficit is targeted to adhere to strict consolidation, declining from 4.4% of GDP in FY26 to 4.3% of GDP in FY27, with the central government debt-to-GDP ratio projected to trend down to 55.6%.</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Q12. What specific fiscal strategy reports are statutorily mandated to be presented to Parliament under the FRBM Act of 2003?</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The FRBM Act mandates the presentation of the Macroeconomic Framework Statement and the Medium-Term Fiscal Policy cum Fiscal Policy Strategy Statement alongside the Annual Budget.</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Q13. How did the 16th Finance Commission (Panagariya Commission) alter the horizontal devolution criteria compared to the 15th FC?</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While retaining the vertical share at 41%, the 16th FC shifted toward efficiency by introducing a new "Contribution to GDP" parameter (10% weight), completely eliminating the "Tax and Fiscal Efforts" criteria, and diluting the weight of the equity-based "Income Distance" parameter from 45% to 42.5%.</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Q14. Define Deadweight Loss (excess burden) and explain its relationship to the Ramsey Inverse Elasticity Rule.</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Deadweight loss is the irreversible destruction of economic surplus caused when taxation distorts market behavior and reduces trade volume. The Ramsey rule minimizes this aggregate deadweight loss by prescribing that higher tax rates be applied to goods with highly inelastic demand, and lower tax rates to goods with highly elastic demand.</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Q15. Differentiate between the concepts of Horizontal Equity and Vertical Equity in the domain of optimal taxation.</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Horizontal equity asserts that individuals possessing identical economic capacities must bear exactly the same tax burden. Vertical equity asserts that individuals possessing greater economic capacity should bear a progressively larger tax burden, justifying progressive tax structures.</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Q16. What is the fundamental theoretical divergence between the Ricardian model and the Heckscher-Ohlin model of international trade?</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The Ricardian model explains comparative advantage based entirely on differences in technology (labor productivity) between nations. Conversely, the Heckscher-Ohlin model assumes technologies are identical everywhere and attributes comparative advantage solely to differences in national factor endowments (the relative abundance of capital versus labor).</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Q17. Articulate the core postulates of the Stolper-Samuelson theorem and the Rybczynski theorem.</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The Stolper-Samuelson theorem dictates that a trade-induced increase in the price of a good will absolutely increase the real returns to the factor used intensively in its production. The Rybczynski theorem states that at constant prices, an increase in a nation's endowment of a specific factor will result in an absolute expansion of the industry using that factor intensively, forcing a contraction in the other industry.</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Q18. How does Paul Krugman's New Trade Theory (NTT) explain the prevalence of intra-industry trade between identical countries?</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NTT abandons perfect competition, demonstrating that due to internal economies of scale and consumer preference for product variety, even identically endowed nations will benefit from trade. They achieve this by specializing in specific niche product varieties, achieving scale economies, and trading these differentiated goods with each other.</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Q19. What specific empirical anomaly does the Melitz Model (2003) resolve, and what is its mechanism?</w:t>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It explains why only a small fraction of highly productive firms engage in exporting. By introducing firm-level heterogeneity and fixed sunk costs to enter foreign markets, the model proves that only the most productive firms can profitably self-select into exporting. Trade liberalization thus causes a Darwinian reallocation where the least productive firms exit, raising aggregate industry productivity.</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Q20. Arrange the foundational publications of the following trade theorists in chronological order: Bela Balassa, Eli Heckscher, Staffan B. Linder, Paul Samuelson.</w:t>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255"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1) Eli Heckscher (Factor Proportions framework - 1919), 2) Paul Samuelson (Mathematical formalization of FPE/Stolper-Samuelson - 1948), 3) Staffan Burenstam Linder (Overlapping Demand Hypothesis - 1961), 4) Bela Balassa (Trade Creation and Diversion analysis - 1961/1967).</w:t>
      </w:r>
    </w:p>
    <w:p w:rsidR="00000000" w:rsidDel="00000000" w:rsidP="00000000" w:rsidRDefault="00000000" w:rsidRPr="00000000" w14:paraId="000000E8">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0E9">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De-Industrialization: The Curse of Colonial Rule - Research Journal of Humanities and Social Sciences, accessed February 17, 2026, </w:t>
      </w:r>
      <w:hyperlink r:id="rId6">
        <w:r w:rsidDel="00000000" w:rsidR="00000000" w:rsidRPr="00000000">
          <w:rPr>
            <w:rFonts w:ascii="Google Sans" w:cs="Google Sans" w:eastAsia="Google Sans" w:hAnsi="Google Sans"/>
            <w:color w:val="0000ee"/>
            <w:sz w:val="24"/>
            <w:szCs w:val="24"/>
            <w:u w:val="single"/>
            <w:rtl w:val="0"/>
          </w:rPr>
          <w:t xml:space="preserve">https://rjhssonline.com/HTMLPaper.aspx?Journal=Research%20Journal%20of%20Humanities%20and%20Social%20Sciences;PID=2010-1-2-3</w:t>
        </w:r>
      </w:hyperlink>
      <w:r w:rsidDel="00000000" w:rsidR="00000000" w:rsidRPr="00000000">
        <w:rPr>
          <w:rtl w:val="0"/>
        </w:rPr>
      </w:r>
    </w:p>
    <w:p w:rsidR="00000000" w:rsidDel="00000000" w:rsidP="00000000" w:rsidRDefault="00000000" w:rsidRPr="00000000" w14:paraId="000000E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HISTORY OF INDIAN ECONOMY, accessed February 17, 2026, </w:t>
      </w:r>
      <w:hyperlink r:id="rId7">
        <w:r w:rsidDel="00000000" w:rsidR="00000000" w:rsidRPr="00000000">
          <w:rPr>
            <w:rFonts w:ascii="Google Sans" w:cs="Google Sans" w:eastAsia="Google Sans" w:hAnsi="Google Sans"/>
            <w:color w:val="0000ee"/>
            <w:sz w:val="24"/>
            <w:szCs w:val="24"/>
            <w:u w:val="single"/>
            <w:rtl w:val="0"/>
          </w:rPr>
          <w:t xml:space="preserve">https://cgijeddah.gov.in/web_files/267622636-History-of-Indian-Economy.pdf</w:t>
        </w:r>
      </w:hyperlink>
      <w:r w:rsidDel="00000000" w:rsidR="00000000" w:rsidRPr="00000000">
        <w:rPr>
          <w:rtl w:val="0"/>
        </w:rPr>
      </w:r>
    </w:p>
    <w:p w:rsidR="00000000" w:rsidDel="00000000" w:rsidP="00000000" w:rsidRDefault="00000000" w:rsidRPr="00000000" w14:paraId="000000E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national income of India was calculated first by? - Vedantu, accessed February 17, 2026, </w:t>
      </w:r>
      <w:hyperlink r:id="rId8">
        <w:r w:rsidDel="00000000" w:rsidR="00000000" w:rsidRPr="00000000">
          <w:rPr>
            <w:rFonts w:ascii="Google Sans" w:cs="Google Sans" w:eastAsia="Google Sans" w:hAnsi="Google Sans"/>
            <w:color w:val="0000ee"/>
            <w:sz w:val="24"/>
            <w:szCs w:val="24"/>
            <w:u w:val="single"/>
            <w:rtl w:val="0"/>
          </w:rPr>
          <w:t xml:space="preserve">https://www.vedantu.com/question-answer/the-national-income-of-india-was-calculated-first-by-692edf38cdee1b42a99768d7</w:t>
        </w:r>
      </w:hyperlink>
      <w:r w:rsidDel="00000000" w:rsidR="00000000" w:rsidRPr="00000000">
        <w:rPr>
          <w:rtl w:val="0"/>
        </w:rPr>
      </w:r>
    </w:p>
    <w:p w:rsidR="00000000" w:rsidDel="00000000" w:rsidP="00000000" w:rsidRDefault="00000000" w:rsidRPr="00000000" w14:paraId="000000EC">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Income - Lead the Competition, accessed February 17, 2026, </w:t>
      </w:r>
      <w:hyperlink r:id="rId9">
        <w:r w:rsidDel="00000000" w:rsidR="00000000" w:rsidRPr="00000000">
          <w:rPr>
            <w:rFonts w:ascii="Google Sans" w:cs="Google Sans" w:eastAsia="Google Sans" w:hAnsi="Google Sans"/>
            <w:color w:val="0000ee"/>
            <w:sz w:val="24"/>
            <w:szCs w:val="24"/>
            <w:u w:val="single"/>
            <w:rtl w:val="0"/>
          </w:rPr>
          <w:t xml:space="preserve">https://www.leadthecompetition.in/GKT/national_income.html</w:t>
        </w:r>
      </w:hyperlink>
      <w:r w:rsidDel="00000000" w:rsidR="00000000" w:rsidRPr="00000000">
        <w:rPr>
          <w:rtl w:val="0"/>
        </w:rPr>
      </w:r>
    </w:p>
    <w:p w:rsidR="00000000" w:rsidDel="00000000" w:rsidP="00000000" w:rsidRDefault="00000000" w:rsidRPr="00000000" w14:paraId="000000E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income - EDEN IAS Blogs, accessed February 17, 2026, </w:t>
      </w:r>
      <w:hyperlink r:id="rId10">
        <w:r w:rsidDel="00000000" w:rsidR="00000000" w:rsidRPr="00000000">
          <w:rPr>
            <w:rFonts w:ascii="Google Sans" w:cs="Google Sans" w:eastAsia="Google Sans" w:hAnsi="Google Sans"/>
            <w:color w:val="0000ee"/>
            <w:sz w:val="24"/>
            <w:szCs w:val="24"/>
            <w:u w:val="single"/>
            <w:rtl w:val="0"/>
          </w:rPr>
          <w:t xml:space="preserve">https://lms.edenias.com/blog/gs-articles/national-income</w:t>
        </w:r>
      </w:hyperlink>
      <w:r w:rsidDel="00000000" w:rsidR="00000000" w:rsidRPr="00000000">
        <w:rPr>
          <w:rtl w:val="0"/>
        </w:rPr>
      </w:r>
    </w:p>
    <w:p w:rsidR="00000000" w:rsidDel="00000000" w:rsidP="00000000" w:rsidRDefault="00000000" w:rsidRPr="00000000" w14:paraId="000000E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Jail Cost of Living by Dadabhai Naoroji | Poverty Line Explained | Icon RK Sir | Indian Economy - YouTube, accessed February 17, 2026, </w:t>
      </w:r>
      <w:hyperlink r:id="rId11">
        <w:r w:rsidDel="00000000" w:rsidR="00000000" w:rsidRPr="00000000">
          <w:rPr>
            <w:rFonts w:ascii="Google Sans" w:cs="Google Sans" w:eastAsia="Google Sans" w:hAnsi="Google Sans"/>
            <w:color w:val="0000ee"/>
            <w:sz w:val="24"/>
            <w:szCs w:val="24"/>
            <w:u w:val="single"/>
            <w:rtl w:val="0"/>
          </w:rPr>
          <w:t xml:space="preserve">https://www.youtube.com/shorts/Mb4FbZ6L2DM</w:t>
        </w:r>
      </w:hyperlink>
      <w:r w:rsidDel="00000000" w:rsidR="00000000" w:rsidRPr="00000000">
        <w:rPr>
          <w:rtl w:val="0"/>
        </w:rPr>
      </w:r>
    </w:p>
    <w:p w:rsidR="00000000" w:rsidDel="00000000" w:rsidP="00000000" w:rsidRDefault="00000000" w:rsidRPr="00000000" w14:paraId="000000E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estimation in India - PRS India, accessed February 17, 2026, </w:t>
      </w:r>
      <w:hyperlink r:id="rId12">
        <w:r w:rsidDel="00000000" w:rsidR="00000000" w:rsidRPr="00000000">
          <w:rPr>
            <w:rFonts w:ascii="Google Sans" w:cs="Google Sans" w:eastAsia="Google Sans" w:hAnsi="Google Sans"/>
            <w:color w:val="0000ee"/>
            <w:sz w:val="24"/>
            <w:szCs w:val="24"/>
            <w:u w:val="single"/>
            <w:rtl w:val="0"/>
          </w:rPr>
          <w:t xml:space="preserve">https://prsindia.org/theprsblog/more-privatisation-on-the-cards?page=20&amp;per-page=1</w:t>
        </w:r>
      </w:hyperlink>
      <w:r w:rsidDel="00000000" w:rsidR="00000000" w:rsidRPr="00000000">
        <w:rPr>
          <w:rtl w:val="0"/>
        </w:rPr>
      </w:r>
    </w:p>
    <w:p w:rsidR="00000000" w:rsidDel="00000000" w:rsidP="00000000" w:rsidRDefault="00000000" w:rsidRPr="00000000" w14:paraId="000000F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Dadabhai Naoroji, William Digby, Findlay Shirras, V. K. R. V. Rao, and R. C. Desai during the colonial period estimated - Prepp, accessed February 17, 2026, </w:t>
      </w:r>
      <w:hyperlink r:id="rId13">
        <w:r w:rsidDel="00000000" w:rsidR="00000000" w:rsidRPr="00000000">
          <w:rPr>
            <w:rFonts w:ascii="Google Sans" w:cs="Google Sans" w:eastAsia="Google Sans" w:hAnsi="Google Sans"/>
            <w:color w:val="0000ee"/>
            <w:sz w:val="24"/>
            <w:szCs w:val="24"/>
            <w:u w:val="single"/>
            <w:rtl w:val="0"/>
          </w:rPr>
          <w:t xml:space="preserve">https://prepp.in/question/the-notable-estimators-dadabhai-naoroji-william-di-67a476fdfdb92faa6a4ddc71</w:t>
        </w:r>
      </w:hyperlink>
      <w:r w:rsidDel="00000000" w:rsidR="00000000" w:rsidRPr="00000000">
        <w:rPr>
          <w:rtl w:val="0"/>
        </w:rPr>
      </w:r>
    </w:p>
    <w:p w:rsidR="00000000" w:rsidDel="00000000" w:rsidP="00000000" w:rsidRDefault="00000000" w:rsidRPr="00000000" w14:paraId="000000F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Income Estimates in India - Your Article Library, accessed February 17, 2026, </w:t>
      </w:r>
      <w:hyperlink r:id="rId14">
        <w:r w:rsidDel="00000000" w:rsidR="00000000" w:rsidRPr="00000000">
          <w:rPr>
            <w:rFonts w:ascii="Google Sans" w:cs="Google Sans" w:eastAsia="Google Sans" w:hAnsi="Google Sans"/>
            <w:color w:val="0000ee"/>
            <w:sz w:val="24"/>
            <w:szCs w:val="24"/>
            <w:u w:val="single"/>
            <w:rtl w:val="0"/>
          </w:rPr>
          <w:t xml:space="preserve">https://www.yourarticlelibrary.com/economics/national-income/national-income-estimates-in-india/62829</w:t>
        </w:r>
      </w:hyperlink>
      <w:r w:rsidDel="00000000" w:rsidR="00000000" w:rsidRPr="00000000">
        <w:rPr>
          <w:rtl w:val="0"/>
        </w:rPr>
      </w:r>
    </w:p>
    <w:p w:rsidR="00000000" w:rsidDel="00000000" w:rsidP="00000000" w:rsidRDefault="00000000" w:rsidRPr="00000000" w14:paraId="000000F2">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Trends and Structure of National Income In an economy, every sector utilises natural, human and material resources and contribut, accessed February 17, 2026, </w:t>
      </w:r>
      <w:hyperlink r:id="rId15">
        <w:r w:rsidDel="00000000" w:rsidR="00000000" w:rsidRPr="00000000">
          <w:rPr>
            <w:rFonts w:ascii="Google Sans" w:cs="Google Sans" w:eastAsia="Google Sans" w:hAnsi="Google Sans"/>
            <w:color w:val="0000ee"/>
            <w:sz w:val="24"/>
            <w:szCs w:val="24"/>
            <w:u w:val="single"/>
            <w:rtl w:val="0"/>
          </w:rPr>
          <w:t xml:space="preserve">https://srapcollege.co.in/sites/default/files/National%20Income.pdf</w:t>
        </w:r>
      </w:hyperlink>
      <w:r w:rsidDel="00000000" w:rsidR="00000000" w:rsidRPr="00000000">
        <w:rPr>
          <w:rtl w:val="0"/>
        </w:rPr>
      </w:r>
    </w:p>
    <w:p w:rsidR="00000000" w:rsidDel="00000000" w:rsidP="00000000" w:rsidRDefault="00000000" w:rsidRPr="00000000" w14:paraId="000000F3">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Some Indian economists attempted to measure India's na - Testbook, accessed February 17, 2026, </w:t>
      </w:r>
      <w:hyperlink r:id="rId16">
        <w:r w:rsidDel="00000000" w:rsidR="00000000" w:rsidRPr="00000000">
          <w:rPr>
            <w:rFonts w:ascii="Google Sans" w:cs="Google Sans" w:eastAsia="Google Sans" w:hAnsi="Google Sans"/>
            <w:color w:val="0000ee"/>
            <w:sz w:val="24"/>
            <w:szCs w:val="24"/>
            <w:u w:val="single"/>
            <w:rtl w:val="0"/>
          </w:rPr>
          <w:t xml:space="preserve">https://testbook.com/question-answer/some-indian-economists-attempted-to-measure-india--5ed79d7ff60d5d15fec80a4a</w:t>
        </w:r>
      </w:hyperlink>
      <w:r w:rsidDel="00000000" w:rsidR="00000000" w:rsidRPr="00000000">
        <w:rPr>
          <w:rtl w:val="0"/>
        </w:rPr>
      </w:r>
    </w:p>
    <w:p w:rsidR="00000000" w:rsidDel="00000000" w:rsidP="00000000" w:rsidRDefault="00000000" w:rsidRPr="00000000" w14:paraId="000000F4">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Steady Population Growth in India: Transition from 1921 to 1951 - Socio.Health, accessed February 17, 2026, </w:t>
      </w:r>
      <w:hyperlink r:id="rId17">
        <w:r w:rsidDel="00000000" w:rsidR="00000000" w:rsidRPr="00000000">
          <w:rPr>
            <w:rFonts w:ascii="Google Sans" w:cs="Google Sans" w:eastAsia="Google Sans" w:hAnsi="Google Sans"/>
            <w:color w:val="0000ee"/>
            <w:sz w:val="24"/>
            <w:szCs w:val="24"/>
            <w:u w:val="single"/>
            <w:rtl w:val="0"/>
          </w:rPr>
          <w:t xml:space="preserve">https://socio.health/population-studies-introduction/steady-population-growth-india-1921-1951/</w:t>
        </w:r>
      </w:hyperlink>
      <w:r w:rsidDel="00000000" w:rsidR="00000000" w:rsidRPr="00000000">
        <w:rPr>
          <w:rtl w:val="0"/>
        </w:rPr>
      </w:r>
    </w:p>
    <w:p w:rsidR="00000000" w:rsidDel="00000000" w:rsidP="00000000" w:rsidRDefault="00000000" w:rsidRPr="00000000" w14:paraId="000000F5">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Which is the 'Year of great divide' in the history of population growth in India? - Testbook, accessed February 17, 2026, </w:t>
      </w:r>
      <w:hyperlink r:id="rId18">
        <w:r w:rsidDel="00000000" w:rsidR="00000000" w:rsidRPr="00000000">
          <w:rPr>
            <w:rFonts w:ascii="Google Sans" w:cs="Google Sans" w:eastAsia="Google Sans" w:hAnsi="Google Sans"/>
            <w:color w:val="0000ee"/>
            <w:sz w:val="24"/>
            <w:szCs w:val="24"/>
            <w:u w:val="single"/>
            <w:rtl w:val="0"/>
          </w:rPr>
          <w:t xml:space="preserve">https://testbook.com/question-answer/which-is-the-year-of-great-divide-in-the--678a6d7e9828324feb831d44</w:t>
        </w:r>
      </w:hyperlink>
      <w:r w:rsidDel="00000000" w:rsidR="00000000" w:rsidRPr="00000000">
        <w:rPr>
          <w:rtl w:val="0"/>
        </w:rPr>
      </w:r>
    </w:p>
    <w:p w:rsidR="00000000" w:rsidDel="00000000" w:rsidP="00000000" w:rsidRDefault="00000000" w:rsidRPr="00000000" w14:paraId="000000F6">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Which among the following is called the year of the great divide in the demographic history of India - GKToday, accessed February 17, 2026, </w:t>
      </w:r>
      <w:hyperlink r:id="rId19">
        <w:r w:rsidDel="00000000" w:rsidR="00000000" w:rsidRPr="00000000">
          <w:rPr>
            <w:rFonts w:ascii="Google Sans" w:cs="Google Sans" w:eastAsia="Google Sans" w:hAnsi="Google Sans"/>
            <w:color w:val="0000ee"/>
            <w:sz w:val="24"/>
            <w:szCs w:val="24"/>
            <w:u w:val="single"/>
            <w:rtl w:val="0"/>
          </w:rPr>
          <w:t xml:space="preserve">https://www.gktoday.in/question/which-among-the-following-is-called-the-year-of-th</w:t>
        </w:r>
      </w:hyperlink>
      <w:r w:rsidDel="00000000" w:rsidR="00000000" w:rsidRPr="00000000">
        <w:rPr>
          <w:rtl w:val="0"/>
        </w:rPr>
      </w:r>
    </w:p>
    <w:p w:rsidR="00000000" w:rsidDel="00000000" w:rsidP="00000000" w:rsidRDefault="00000000" w:rsidRPr="00000000" w14:paraId="000000F7">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accessed February 17, 2026, </w:t>
      </w:r>
      <w:hyperlink r:id="rId20">
        <w:r w:rsidDel="00000000" w:rsidR="00000000" w:rsidRPr="00000000">
          <w:rPr>
            <w:rFonts w:ascii="Google Sans" w:cs="Google Sans" w:eastAsia="Google Sans" w:hAnsi="Google Sans"/>
            <w:color w:val="0000ee"/>
            <w:sz w:val="24"/>
            <w:szCs w:val="24"/>
            <w:u w:val="single"/>
            <w:rtl w:val="0"/>
          </w:rPr>
          <w:t xml:space="preserve">https://byjus.com/commerce/occupational-structure/#:~:text=Agriculture%20was%20the%20principal%20source,15%2D20%25%20%2C%20respectively.</w:t>
        </w:r>
      </w:hyperlink>
      <w:r w:rsidDel="00000000" w:rsidR="00000000" w:rsidRPr="00000000">
        <w:rPr>
          <w:rtl w:val="0"/>
        </w:rPr>
      </w:r>
    </w:p>
    <w:p w:rsidR="00000000" w:rsidDel="00000000" w:rsidP="00000000" w:rsidRDefault="00000000" w:rsidRPr="00000000" w14:paraId="000000F8">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Nature of Occupational Structure and Workforce Participation in Economy in India - ijtbm, accessed February 17, 2026, </w:t>
      </w:r>
      <w:hyperlink r:id="rId21">
        <w:r w:rsidDel="00000000" w:rsidR="00000000" w:rsidRPr="00000000">
          <w:rPr>
            <w:rFonts w:ascii="Google Sans" w:cs="Google Sans" w:eastAsia="Google Sans" w:hAnsi="Google Sans"/>
            <w:color w:val="0000ee"/>
            <w:sz w:val="24"/>
            <w:szCs w:val="24"/>
            <w:u w:val="single"/>
            <w:rtl w:val="0"/>
          </w:rPr>
          <w:t xml:space="preserve">https://ijtbm.com/admin/upload/06%20Dr.%20Suhasini%20Parashar%2001297.pdf</w:t>
        </w:r>
      </w:hyperlink>
      <w:r w:rsidDel="00000000" w:rsidR="00000000" w:rsidRPr="00000000">
        <w:rPr>
          <w:rtl w:val="0"/>
        </w:rPr>
      </w:r>
    </w:p>
    <w:p w:rsidR="00000000" w:rsidDel="00000000" w:rsidP="00000000" w:rsidRDefault="00000000" w:rsidRPr="00000000" w14:paraId="000000F9">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evolution of labour markets in india - Documents &amp; Reports, accessed February 17, 2026, </w:t>
      </w:r>
      <w:hyperlink r:id="rId22">
        <w:r w:rsidDel="00000000" w:rsidR="00000000" w:rsidRPr="00000000">
          <w:rPr>
            <w:rFonts w:ascii="Google Sans" w:cs="Google Sans" w:eastAsia="Google Sans" w:hAnsi="Google Sans"/>
            <w:color w:val="0000ee"/>
            <w:sz w:val="24"/>
            <w:szCs w:val="24"/>
            <w:u w:val="single"/>
            <w:rtl w:val="0"/>
          </w:rPr>
          <w:t xml:space="preserve">https://documents1.worldbank.org/curated/en/482781468268489222/pdf/Theevolution-of-labour-markets-in-India-1857-1947.pdf</w:t>
        </w:r>
      </w:hyperlink>
      <w:r w:rsidDel="00000000" w:rsidR="00000000" w:rsidRPr="00000000">
        <w:rPr>
          <w:rtl w:val="0"/>
        </w:rPr>
      </w:r>
    </w:p>
    <w:p w:rsidR="00000000" w:rsidDel="00000000" w:rsidP="00000000" w:rsidRDefault="00000000" w:rsidRPr="00000000" w14:paraId="000000F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System in British India - Policy and Features - Vajiram &amp; Ravi, accessed February 17, 2026, </w:t>
      </w:r>
      <w:hyperlink r:id="rId23">
        <w:r w:rsidDel="00000000" w:rsidR="00000000" w:rsidRPr="00000000">
          <w:rPr>
            <w:rFonts w:ascii="Google Sans" w:cs="Google Sans" w:eastAsia="Google Sans" w:hAnsi="Google Sans"/>
            <w:color w:val="0000ee"/>
            <w:sz w:val="24"/>
            <w:szCs w:val="24"/>
            <w:u w:val="single"/>
            <w:rtl w:val="0"/>
          </w:rPr>
          <w:t xml:space="preserve">https://vajiramandravi.com/upsc-exam/land-revenue-system-in-british-india/</w:t>
        </w:r>
      </w:hyperlink>
      <w:r w:rsidDel="00000000" w:rsidR="00000000" w:rsidRPr="00000000">
        <w:rPr>
          <w:rtl w:val="0"/>
        </w:rPr>
      </w:r>
    </w:p>
    <w:p w:rsidR="00000000" w:rsidDel="00000000" w:rsidP="00000000" w:rsidRDefault="00000000" w:rsidRPr="00000000" w14:paraId="000000F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System, Meaning, Types, Features, Effects &amp; Difference! - Testbook, accessed February 17, 2026, </w:t>
      </w:r>
      <w:hyperlink r:id="rId24">
        <w:r w:rsidDel="00000000" w:rsidR="00000000" w:rsidRPr="00000000">
          <w:rPr>
            <w:rFonts w:ascii="Google Sans" w:cs="Google Sans" w:eastAsia="Google Sans" w:hAnsi="Google Sans"/>
            <w:color w:val="0000ee"/>
            <w:sz w:val="24"/>
            <w:szCs w:val="24"/>
            <w:u w:val="single"/>
            <w:rtl w:val="0"/>
          </w:rPr>
          <w:t xml:space="preserve">https://testbook.com/ias-preparation/land-revenue-system-in-india-upsc-notes</w:t>
        </w:r>
      </w:hyperlink>
      <w:r w:rsidDel="00000000" w:rsidR="00000000" w:rsidRPr="00000000">
        <w:rPr>
          <w:rtl w:val="0"/>
        </w:rPr>
      </w:r>
    </w:p>
    <w:p w:rsidR="00000000" w:rsidDel="00000000" w:rsidP="00000000" w:rsidRDefault="00000000" w:rsidRPr="00000000" w14:paraId="000000FC">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Systems in British India - Drishti IAS, accessed February 17, 2026, </w:t>
      </w:r>
      <w:hyperlink r:id="rId25">
        <w:r w:rsidDel="00000000" w:rsidR="00000000" w:rsidRPr="00000000">
          <w:rPr>
            <w:rFonts w:ascii="Google Sans" w:cs="Google Sans" w:eastAsia="Google Sans" w:hAnsi="Google Sans"/>
            <w:color w:val="0000ee"/>
            <w:sz w:val="24"/>
            <w:szCs w:val="24"/>
            <w:u w:val="single"/>
            <w:rtl w:val="0"/>
          </w:rPr>
          <w:t xml:space="preserve">https://www.drishtiias.com/to-the-points/paper1/land-revenue-systems-in-british-india</w:t>
        </w:r>
      </w:hyperlink>
      <w:r w:rsidDel="00000000" w:rsidR="00000000" w:rsidRPr="00000000">
        <w:rPr>
          <w:rtl w:val="0"/>
        </w:rPr>
      </w:r>
    </w:p>
    <w:p w:rsidR="00000000" w:rsidDel="00000000" w:rsidP="00000000" w:rsidRDefault="00000000" w:rsidRPr="00000000" w14:paraId="000000F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System in British India: Zamindari, Ryotwari &amp; Mahalwari, accessed February 17, 2026, </w:t>
      </w:r>
      <w:hyperlink r:id="rId26">
        <w:r w:rsidDel="00000000" w:rsidR="00000000" w:rsidRPr="00000000">
          <w:rPr>
            <w:rFonts w:ascii="Google Sans" w:cs="Google Sans" w:eastAsia="Google Sans" w:hAnsi="Google Sans"/>
            <w:color w:val="0000ee"/>
            <w:sz w:val="24"/>
            <w:szCs w:val="24"/>
            <w:u w:val="single"/>
            <w:rtl w:val="0"/>
          </w:rPr>
          <w:t xml:space="preserve">https://www.vajiraoinstitute.com/upsc-ias-current-affairs/land-revenue-system-in-british-india.aspx</w:t>
        </w:r>
      </w:hyperlink>
      <w:r w:rsidDel="00000000" w:rsidR="00000000" w:rsidRPr="00000000">
        <w:rPr>
          <w:rtl w:val="0"/>
        </w:rPr>
      </w:r>
    </w:p>
    <w:p w:rsidR="00000000" w:rsidDel="00000000" w:rsidP="00000000" w:rsidRDefault="00000000" w:rsidRPr="00000000" w14:paraId="000000F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Ryotwari and Mahalwari Systems of Land Revenue - BYJU'S, accessed February 17, 2026, </w:t>
      </w:r>
      <w:hyperlink r:id="rId27">
        <w:r w:rsidDel="00000000" w:rsidR="00000000" w:rsidRPr="00000000">
          <w:rPr>
            <w:rFonts w:ascii="Google Sans" w:cs="Google Sans" w:eastAsia="Google Sans" w:hAnsi="Google Sans"/>
            <w:color w:val="0000ee"/>
            <w:sz w:val="24"/>
            <w:szCs w:val="24"/>
            <w:u w:val="single"/>
            <w:rtl w:val="0"/>
          </w:rPr>
          <w:t xml:space="preserve">https://byjus.com/free-ias-prep/ncert-notes-ryotwari-and-mahalwari-systems-of-land-revenue/</w:t>
        </w:r>
      </w:hyperlink>
      <w:r w:rsidDel="00000000" w:rsidR="00000000" w:rsidRPr="00000000">
        <w:rPr>
          <w:rtl w:val="0"/>
        </w:rPr>
      </w:r>
    </w:p>
    <w:p w:rsidR="00000000" w:rsidDel="00000000" w:rsidP="00000000" w:rsidRDefault="00000000" w:rsidRPr="00000000" w14:paraId="000000F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Comparative Study of Zamindari, Raiyatwari and Mahalwari Land Revenue Settlements: The Colonial Mechanisms of Surplus Extracti - IOSR Journal, accessed February 17, 2026, </w:t>
      </w:r>
      <w:hyperlink r:id="rId28">
        <w:r w:rsidDel="00000000" w:rsidR="00000000" w:rsidRPr="00000000">
          <w:rPr>
            <w:rFonts w:ascii="Google Sans" w:cs="Google Sans" w:eastAsia="Google Sans" w:hAnsi="Google Sans"/>
            <w:color w:val="0000ee"/>
            <w:sz w:val="24"/>
            <w:szCs w:val="24"/>
            <w:u w:val="single"/>
            <w:rtl w:val="0"/>
          </w:rPr>
          <w:t xml:space="preserve">https://www.iosrjournals.org/iosr-jhss/papers/Vol2-issue4/D0241626.pdf</w:t>
        </w:r>
      </w:hyperlink>
      <w:r w:rsidDel="00000000" w:rsidR="00000000" w:rsidRPr="00000000">
        <w:rPr>
          <w:rtl w:val="0"/>
        </w:rPr>
      </w:r>
    </w:p>
    <w:p w:rsidR="00000000" w:rsidDel="00000000" w:rsidP="00000000" w:rsidRDefault="00000000" w:rsidRPr="00000000" w14:paraId="0000010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Systems in British India: Zamindari, Ryotwari and Mahalwari - ClearIAS, accessed February 17, 2026, </w:t>
      </w:r>
      <w:hyperlink r:id="rId29">
        <w:r w:rsidDel="00000000" w:rsidR="00000000" w:rsidRPr="00000000">
          <w:rPr>
            <w:rFonts w:ascii="Google Sans" w:cs="Google Sans" w:eastAsia="Google Sans" w:hAnsi="Google Sans"/>
            <w:color w:val="0000ee"/>
            <w:sz w:val="24"/>
            <w:szCs w:val="24"/>
            <w:u w:val="single"/>
            <w:rtl w:val="0"/>
          </w:rPr>
          <w:t xml:space="preserve">https://www.clearias.com/land-revenue-systems-zamindari-ryotwari-mahalwari/</w:t>
        </w:r>
      </w:hyperlink>
      <w:r w:rsidDel="00000000" w:rsidR="00000000" w:rsidRPr="00000000">
        <w:rPr>
          <w:rtl w:val="0"/>
        </w:rPr>
      </w:r>
    </w:p>
    <w:p w:rsidR="00000000" w:rsidDel="00000000" w:rsidP="00000000" w:rsidRDefault="00000000" w:rsidRPr="00000000" w14:paraId="0000010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Deindustrialisation and Commercialisation of Agriculture: An Economic Critique of Colonial Rule in India - ResearchGate, accessed February 17, 2026, </w:t>
      </w:r>
      <w:hyperlink r:id="rId30">
        <w:r w:rsidDel="00000000" w:rsidR="00000000" w:rsidRPr="00000000">
          <w:rPr>
            <w:rFonts w:ascii="Google Sans" w:cs="Google Sans" w:eastAsia="Google Sans" w:hAnsi="Google Sans"/>
            <w:color w:val="0000ee"/>
            <w:sz w:val="24"/>
            <w:szCs w:val="24"/>
            <w:u w:val="single"/>
            <w:rtl w:val="0"/>
          </w:rPr>
          <w:t xml:space="preserve">https://www.researchgate.net/publication/368358256_Deindustrialisation_and_Commercialisation_of_Agriculture_An_Economic_Critique_of_Colonial_Rule_in_India</w:t>
        </w:r>
      </w:hyperlink>
      <w:r w:rsidDel="00000000" w:rsidR="00000000" w:rsidRPr="00000000">
        <w:rPr>
          <w:rtl w:val="0"/>
        </w:rPr>
      </w:r>
    </w:p>
    <w:p w:rsidR="00000000" w:rsidDel="00000000" w:rsidP="00000000" w:rsidRDefault="00000000" w:rsidRPr="00000000" w14:paraId="00000102">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Famine Commissions During British Rule in India - Vedantu, accessed February 17, 2026, </w:t>
      </w:r>
      <w:hyperlink r:id="rId31">
        <w:r w:rsidDel="00000000" w:rsidR="00000000" w:rsidRPr="00000000">
          <w:rPr>
            <w:rFonts w:ascii="Google Sans" w:cs="Google Sans" w:eastAsia="Google Sans" w:hAnsi="Google Sans"/>
            <w:color w:val="0000ee"/>
            <w:sz w:val="24"/>
            <w:szCs w:val="24"/>
            <w:u w:val="single"/>
            <w:rtl w:val="0"/>
          </w:rPr>
          <w:t xml:space="preserve">https://www.vedantu.com/general-knowledge/famine-commissions-during-british-rule-in-india</w:t>
        </w:r>
      </w:hyperlink>
      <w:r w:rsidDel="00000000" w:rsidR="00000000" w:rsidRPr="00000000">
        <w:rPr>
          <w:rtl w:val="0"/>
        </w:rPr>
      </w:r>
    </w:p>
    <w:p w:rsidR="00000000" w:rsidDel="00000000" w:rsidP="00000000" w:rsidRDefault="00000000" w:rsidRPr="00000000" w14:paraId="00000103">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Which of the following commissions recommended the preparation of the 'Famine Code' in 1883? - Filo, accessed February 17, 2026, </w:t>
      </w:r>
      <w:hyperlink r:id="rId32">
        <w:r w:rsidDel="00000000" w:rsidR="00000000" w:rsidRPr="00000000">
          <w:rPr>
            <w:rFonts w:ascii="Google Sans" w:cs="Google Sans" w:eastAsia="Google Sans" w:hAnsi="Google Sans"/>
            <w:color w:val="0000ee"/>
            <w:sz w:val="24"/>
            <w:szCs w:val="24"/>
            <w:u w:val="single"/>
            <w:rtl w:val="0"/>
          </w:rPr>
          <w:t xml:space="preserve">https://askfilo.com/user-question-answers-smart-solutions/which-of-the-following-commissions-recommended-the-3430323334313834</w:t>
        </w:r>
      </w:hyperlink>
      <w:r w:rsidDel="00000000" w:rsidR="00000000" w:rsidRPr="00000000">
        <w:rPr>
          <w:rtl w:val="0"/>
        </w:rPr>
      </w:r>
    </w:p>
    <w:p w:rsidR="00000000" w:rsidDel="00000000" w:rsidP="00000000" w:rsidRDefault="00000000" w:rsidRPr="00000000" w14:paraId="00000104">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Famine Commissions in India ~ UPSC History Notes - Compass by Rau's IAS, accessed February 17, 2026, </w:t>
      </w:r>
      <w:hyperlink r:id="rId33">
        <w:r w:rsidDel="00000000" w:rsidR="00000000" w:rsidRPr="00000000">
          <w:rPr>
            <w:rFonts w:ascii="Google Sans" w:cs="Google Sans" w:eastAsia="Google Sans" w:hAnsi="Google Sans"/>
            <w:color w:val="0000ee"/>
            <w:sz w:val="24"/>
            <w:szCs w:val="24"/>
            <w:u w:val="single"/>
            <w:rtl w:val="0"/>
          </w:rPr>
          <w:t xml:space="preserve">https://compass.rauias.com/modern-history/famine-commissions-india/</w:t>
        </w:r>
      </w:hyperlink>
      <w:r w:rsidDel="00000000" w:rsidR="00000000" w:rsidRPr="00000000">
        <w:rPr>
          <w:rtl w:val="0"/>
        </w:rPr>
      </w:r>
    </w:p>
    <w:p w:rsidR="00000000" w:rsidDel="00000000" w:rsidP="00000000" w:rsidRDefault="00000000" w:rsidRPr="00000000" w14:paraId="00000105">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'Famine Code' was prepared in 1883 on the recommendation of which of the following Commissions - Testbook, accessed February 17, 2026, </w:t>
      </w:r>
      <w:hyperlink r:id="rId34">
        <w:r w:rsidDel="00000000" w:rsidR="00000000" w:rsidRPr="00000000">
          <w:rPr>
            <w:rFonts w:ascii="Google Sans" w:cs="Google Sans" w:eastAsia="Google Sans" w:hAnsi="Google Sans"/>
            <w:color w:val="0000ee"/>
            <w:sz w:val="24"/>
            <w:szCs w:val="24"/>
            <w:u w:val="single"/>
            <w:rtl w:val="0"/>
          </w:rPr>
          <w:t xml:space="preserve">https://testbook.com/question-answer/famine-code-was-prepared-in-1883-on-the--694f0a67de5a555b0eea8661</w:t>
        </w:r>
      </w:hyperlink>
      <w:r w:rsidDel="00000000" w:rsidR="00000000" w:rsidRPr="00000000">
        <w:rPr>
          <w:rtl w:val="0"/>
        </w:rPr>
      </w:r>
    </w:p>
    <w:p w:rsidR="00000000" w:rsidDel="00000000" w:rsidP="00000000" w:rsidRDefault="00000000" w:rsidRPr="00000000" w14:paraId="00000106">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When was the Famine Commission under the Chairmanship of Sir - Testbook, accessed February 17, 2026, </w:t>
      </w:r>
      <w:hyperlink r:id="rId35">
        <w:r w:rsidDel="00000000" w:rsidR="00000000" w:rsidRPr="00000000">
          <w:rPr>
            <w:rFonts w:ascii="Google Sans" w:cs="Google Sans" w:eastAsia="Google Sans" w:hAnsi="Google Sans"/>
            <w:color w:val="0000ee"/>
            <w:sz w:val="24"/>
            <w:szCs w:val="24"/>
            <w:u w:val="single"/>
            <w:rtl w:val="0"/>
          </w:rPr>
          <w:t xml:space="preserve">https://testbook.com/question-answer/when-was-the-famine-commission-under-the-chairmans--5ffd9df6e1ecaa7312ca567e</w:t>
        </w:r>
      </w:hyperlink>
      <w:r w:rsidDel="00000000" w:rsidR="00000000" w:rsidRPr="00000000">
        <w:rPr>
          <w:rtl w:val="0"/>
        </w:rPr>
      </w:r>
    </w:p>
    <w:p w:rsidR="00000000" w:rsidDel="00000000" w:rsidP="00000000" w:rsidRDefault="00000000" w:rsidRPr="00000000" w14:paraId="00000107">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MacDonnell Commission - GKToday, accessed February 17, 2026, </w:t>
      </w:r>
      <w:hyperlink r:id="rId36">
        <w:r w:rsidDel="00000000" w:rsidR="00000000" w:rsidRPr="00000000">
          <w:rPr>
            <w:rFonts w:ascii="Google Sans" w:cs="Google Sans" w:eastAsia="Google Sans" w:hAnsi="Google Sans"/>
            <w:color w:val="0000ee"/>
            <w:sz w:val="24"/>
            <w:szCs w:val="24"/>
            <w:u w:val="single"/>
            <w:rtl w:val="0"/>
          </w:rPr>
          <w:t xml:space="preserve">https://www.gktoday.in/macdonnell-commission/</w:t>
        </w:r>
      </w:hyperlink>
      <w:r w:rsidDel="00000000" w:rsidR="00000000" w:rsidRPr="00000000">
        <w:rPr>
          <w:rtl w:val="0"/>
        </w:rPr>
      </w:r>
    </w:p>
    <w:p w:rsidR="00000000" w:rsidDel="00000000" w:rsidP="00000000" w:rsidRDefault="00000000" w:rsidRPr="00000000" w14:paraId="00000108">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Famine Inquiry Commission - Wikipedia, accessed February 17, 2026, </w:t>
      </w:r>
      <w:hyperlink r:id="rId37">
        <w:r w:rsidDel="00000000" w:rsidR="00000000" w:rsidRPr="00000000">
          <w:rPr>
            <w:rFonts w:ascii="Google Sans" w:cs="Google Sans" w:eastAsia="Google Sans" w:hAnsi="Google Sans"/>
            <w:color w:val="0000ee"/>
            <w:sz w:val="24"/>
            <w:szCs w:val="24"/>
            <w:u w:val="single"/>
            <w:rtl w:val="0"/>
          </w:rPr>
          <w:t xml:space="preserve">https://en.wikipedia.org/wiki/Famine_Inquiry_Commission</w:t>
        </w:r>
      </w:hyperlink>
      <w:r w:rsidDel="00000000" w:rsidR="00000000" w:rsidRPr="00000000">
        <w:rPr>
          <w:rtl w:val="0"/>
        </w:rPr>
      </w:r>
    </w:p>
    <w:p w:rsidR="00000000" w:rsidDel="00000000" w:rsidP="00000000" w:rsidRDefault="00000000" w:rsidRPr="00000000" w14:paraId="00000109">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Trade and Industry: Deindustrialization Lesson Developer : Dr. - Deshbandhu College, accessed February 17, 2026, </w:t>
      </w:r>
      <w:hyperlink r:id="rId38">
        <w:r w:rsidDel="00000000" w:rsidR="00000000" w:rsidRPr="00000000">
          <w:rPr>
            <w:rFonts w:ascii="Google Sans" w:cs="Google Sans" w:eastAsia="Google Sans" w:hAnsi="Google Sans"/>
            <w:color w:val="0000ee"/>
            <w:sz w:val="24"/>
            <w:szCs w:val="24"/>
            <w:u w:val="single"/>
            <w:rtl w:val="0"/>
          </w:rPr>
          <w:t xml:space="preserve">https://www.deshbandhucollege.ac.in/pdf/resources/1585676262_HS(H)-VI-lec7.pdf</w:t>
        </w:r>
      </w:hyperlink>
      <w:r w:rsidDel="00000000" w:rsidR="00000000" w:rsidRPr="00000000">
        <w:rPr>
          <w:rtl w:val="0"/>
        </w:rPr>
      </w:r>
    </w:p>
    <w:p w:rsidR="00000000" w:rsidDel="00000000" w:rsidP="00000000" w:rsidRDefault="00000000" w:rsidRPr="00000000" w14:paraId="0000010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Who rejected deindustrialization and claimed a significant economic advancement during colonial rule in the 19 th century? - Prepp, accessed February 17, 2026, </w:t>
      </w:r>
      <w:hyperlink r:id="rId39">
        <w:r w:rsidDel="00000000" w:rsidR="00000000" w:rsidRPr="00000000">
          <w:rPr>
            <w:rFonts w:ascii="Google Sans" w:cs="Google Sans" w:eastAsia="Google Sans" w:hAnsi="Google Sans"/>
            <w:color w:val="0000ee"/>
            <w:sz w:val="24"/>
            <w:szCs w:val="24"/>
            <w:u w:val="single"/>
            <w:rtl w:val="0"/>
          </w:rPr>
          <w:t xml:space="preserve">https://prepp.in/question/who-rejected-deindustrialization-and-claimed-a-sig-642ab5a4608c092a4cab43af</w:t>
        </w:r>
      </w:hyperlink>
      <w:r w:rsidDel="00000000" w:rsidR="00000000" w:rsidRPr="00000000">
        <w:rPr>
          <w:rtl w:val="0"/>
        </w:rPr>
      </w:r>
    </w:p>
    <w:p w:rsidR="00000000" w:rsidDel="00000000" w:rsidP="00000000" w:rsidRDefault="00000000" w:rsidRPr="00000000" w14:paraId="0000010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 Industrialization Assignment | PDF | East India Company | Textiles - Scribd, accessed February 17, 2026, </w:t>
      </w:r>
      <w:hyperlink r:id="rId40">
        <w:r w:rsidDel="00000000" w:rsidR="00000000" w:rsidRPr="00000000">
          <w:rPr>
            <w:rFonts w:ascii="Google Sans" w:cs="Google Sans" w:eastAsia="Google Sans" w:hAnsi="Google Sans"/>
            <w:color w:val="0000ee"/>
            <w:sz w:val="24"/>
            <w:szCs w:val="24"/>
            <w:u w:val="single"/>
            <w:rtl w:val="0"/>
          </w:rPr>
          <w:t xml:space="preserve">https://www.scribd.com/document/640184118/De-industrialization-assignment</w:t>
        </w:r>
      </w:hyperlink>
      <w:r w:rsidDel="00000000" w:rsidR="00000000" w:rsidRPr="00000000">
        <w:rPr>
          <w:rtl w:val="0"/>
        </w:rPr>
      </w:r>
    </w:p>
    <w:p w:rsidR="00000000" w:rsidDel="00000000" w:rsidP="00000000" w:rsidRDefault="00000000" w:rsidRPr="00000000" w14:paraId="0000010C">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UNIT 34 THE DE-INDUSTRIALIZATION DEBATE - eGyanKosh, accessed February 17, 2026, </w:t>
      </w:r>
      <w:hyperlink r:id="rId41">
        <w:r w:rsidDel="00000000" w:rsidR="00000000" w:rsidRPr="00000000">
          <w:rPr>
            <w:rFonts w:ascii="Google Sans" w:cs="Google Sans" w:eastAsia="Google Sans" w:hAnsi="Google Sans"/>
            <w:color w:val="0000ee"/>
            <w:sz w:val="24"/>
            <w:szCs w:val="24"/>
            <w:u w:val="single"/>
            <w:rtl w:val="0"/>
          </w:rPr>
          <w:t xml:space="preserve">https://egyankosh.ac.in/bitstream/123456789/44593/1/Unit-34.pdf</w:t>
        </w:r>
      </w:hyperlink>
      <w:r w:rsidDel="00000000" w:rsidR="00000000" w:rsidRPr="00000000">
        <w:rPr>
          <w:rtl w:val="0"/>
        </w:rPr>
      </w:r>
    </w:p>
    <w:p w:rsidR="00000000" w:rsidDel="00000000" w:rsidP="00000000" w:rsidRDefault="00000000" w:rsidRPr="00000000" w14:paraId="0000010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Who rejected deindustrialization and claimed a significant e - Testbook, accessed February 17, 2026, </w:t>
      </w:r>
      <w:hyperlink r:id="rId42">
        <w:r w:rsidDel="00000000" w:rsidR="00000000" w:rsidRPr="00000000">
          <w:rPr>
            <w:rFonts w:ascii="Google Sans" w:cs="Google Sans" w:eastAsia="Google Sans" w:hAnsi="Google Sans"/>
            <w:color w:val="0000ee"/>
            <w:sz w:val="24"/>
            <w:szCs w:val="24"/>
            <w:u w:val="single"/>
            <w:rtl w:val="0"/>
          </w:rPr>
          <w:t xml:space="preserve">https://testbook.com/question-answer/who-rejected-deindustrialization-and-claimed-a-sig--63df6fa4d2fa3185a6e6d1d6</w:t>
        </w:r>
      </w:hyperlink>
      <w:r w:rsidDel="00000000" w:rsidR="00000000" w:rsidRPr="00000000">
        <w:rPr>
          <w:rtl w:val="0"/>
        </w:rPr>
      </w:r>
    </w:p>
    <w:p w:rsidR="00000000" w:rsidDel="00000000" w:rsidP="00000000" w:rsidRDefault="00000000" w:rsidRPr="00000000" w14:paraId="0000010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Long Shadow of Infrastructure Development: Long Run Effects of Railway Construction in Colonial India - Monash University, accessed February 17, 2026, </w:t>
      </w:r>
      <w:hyperlink r:id="rId43">
        <w:r w:rsidDel="00000000" w:rsidR="00000000" w:rsidRPr="00000000">
          <w:rPr>
            <w:rFonts w:ascii="Google Sans" w:cs="Google Sans" w:eastAsia="Google Sans" w:hAnsi="Google Sans"/>
            <w:color w:val="0000ee"/>
            <w:sz w:val="24"/>
            <w:szCs w:val="24"/>
            <w:u w:val="single"/>
            <w:rtl w:val="0"/>
          </w:rPr>
          <w:t xml:space="preserve">https://www.monash.edu/__data/assets/pdf_file/0011/3417473/2021-01.pdf</w:t>
        </w:r>
      </w:hyperlink>
      <w:r w:rsidDel="00000000" w:rsidR="00000000" w:rsidRPr="00000000">
        <w:rPr>
          <w:rtl w:val="0"/>
        </w:rPr>
      </w:r>
    </w:p>
    <w:p w:rsidR="00000000" w:rsidDel="00000000" w:rsidP="00000000" w:rsidRDefault="00000000" w:rsidRPr="00000000" w14:paraId="0000010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British Indian Railways: The Economic Wheel of Colonization and Imperialism, accessed February 17, 2026, </w:t>
      </w:r>
      <w:hyperlink r:id="rId44">
        <w:r w:rsidDel="00000000" w:rsidR="00000000" w:rsidRPr="00000000">
          <w:rPr>
            <w:rFonts w:ascii="Google Sans" w:cs="Google Sans" w:eastAsia="Google Sans" w:hAnsi="Google Sans"/>
            <w:color w:val="0000ee"/>
            <w:sz w:val="24"/>
            <w:szCs w:val="24"/>
            <w:u w:val="single"/>
            <w:rtl w:val="0"/>
          </w:rPr>
          <w:t xml:space="preserve">https://bbejournal.com/BBE/article/download/788/749/1779</w:t>
        </w:r>
      </w:hyperlink>
      <w:r w:rsidDel="00000000" w:rsidR="00000000" w:rsidRPr="00000000">
        <w:rPr>
          <w:rtl w:val="0"/>
        </w:rPr>
      </w:r>
    </w:p>
    <w:p w:rsidR="00000000" w:rsidDel="00000000" w:rsidP="00000000" w:rsidRDefault="00000000" w:rsidRPr="00000000" w14:paraId="0000011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Infrastructure and railroads | Environment &amp; Society Portal, accessed February 17, 2026, </w:t>
      </w:r>
      <w:hyperlink r:id="rId45">
        <w:r w:rsidDel="00000000" w:rsidR="00000000" w:rsidRPr="00000000">
          <w:rPr>
            <w:rFonts w:ascii="Google Sans" w:cs="Google Sans" w:eastAsia="Google Sans" w:hAnsi="Google Sans"/>
            <w:color w:val="0000ee"/>
            <w:sz w:val="24"/>
            <w:szCs w:val="24"/>
            <w:u w:val="single"/>
            <w:rtl w:val="0"/>
          </w:rPr>
          <w:t xml:space="preserve">https://www.environmentandsociety.org/exhibitions/famines-india/infrastructure-and-railroads</w:t>
        </w:r>
      </w:hyperlink>
      <w:r w:rsidDel="00000000" w:rsidR="00000000" w:rsidRPr="00000000">
        <w:rPr>
          <w:rtl w:val="0"/>
        </w:rPr>
      </w:r>
    </w:p>
    <w:p w:rsidR="00000000" w:rsidDel="00000000" w:rsidP="00000000" w:rsidRDefault="00000000" w:rsidRPr="00000000" w14:paraId="0000011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Understanding the history of the Development of Railways in Colonial India - IJCRT.org, accessed February 17, 2026, </w:t>
      </w:r>
      <w:hyperlink r:id="rId46">
        <w:r w:rsidDel="00000000" w:rsidR="00000000" w:rsidRPr="00000000">
          <w:rPr>
            <w:rFonts w:ascii="Google Sans" w:cs="Google Sans" w:eastAsia="Google Sans" w:hAnsi="Google Sans"/>
            <w:color w:val="0000ee"/>
            <w:sz w:val="24"/>
            <w:szCs w:val="24"/>
            <w:u w:val="single"/>
            <w:rtl w:val="0"/>
          </w:rPr>
          <w:t xml:space="preserve">https://ijcrt.org/papers/IJCRT2112148.pdf</w:t>
        </w:r>
      </w:hyperlink>
      <w:r w:rsidDel="00000000" w:rsidR="00000000" w:rsidRPr="00000000">
        <w:rPr>
          <w:rtl w:val="0"/>
        </w:rPr>
      </w:r>
    </w:p>
    <w:p w:rsidR="00000000" w:rsidDel="00000000" w:rsidP="00000000" w:rsidRDefault="00000000" w:rsidRPr="00000000" w14:paraId="00000112">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TERM PAPERS - Loreto College, accessed February 17, 2026, </w:t>
      </w:r>
      <w:hyperlink r:id="rId47">
        <w:r w:rsidDel="00000000" w:rsidR="00000000" w:rsidRPr="00000000">
          <w:rPr>
            <w:rFonts w:ascii="Google Sans" w:cs="Google Sans" w:eastAsia="Google Sans" w:hAnsi="Google Sans"/>
            <w:color w:val="0000ee"/>
            <w:sz w:val="24"/>
            <w:szCs w:val="24"/>
            <w:u w:val="single"/>
            <w:rtl w:val="0"/>
          </w:rPr>
          <w:t xml:space="preserve">https://www.loretocollege.in/AQAR/2.5.1_2223.pdf</w:t>
        </w:r>
      </w:hyperlink>
      <w:r w:rsidDel="00000000" w:rsidR="00000000" w:rsidRPr="00000000">
        <w:rPr>
          <w:rtl w:val="0"/>
        </w:rPr>
      </w:r>
    </w:p>
    <w:p w:rsidR="00000000" w:rsidDel="00000000" w:rsidP="00000000" w:rsidRDefault="00000000" w:rsidRPr="00000000" w14:paraId="00000113">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Protection versus Preference: Behind the Scenes of Indian Tariff Board, 1923-1927 - Abstract | The Business History Conference, accessed February 17, 2026, </w:t>
      </w:r>
      <w:hyperlink r:id="rId48">
        <w:r w:rsidDel="00000000" w:rsidR="00000000" w:rsidRPr="00000000">
          <w:rPr>
            <w:rFonts w:ascii="Google Sans" w:cs="Google Sans" w:eastAsia="Google Sans" w:hAnsi="Google Sans"/>
            <w:color w:val="0000ee"/>
            <w:sz w:val="24"/>
            <w:szCs w:val="24"/>
            <w:u w:val="single"/>
            <w:rtl w:val="0"/>
          </w:rPr>
          <w:t xml:space="preserve">https://thebhc.org/abstract/82993</w:t>
        </w:r>
      </w:hyperlink>
      <w:r w:rsidDel="00000000" w:rsidR="00000000" w:rsidRPr="00000000">
        <w:rPr>
          <w:rtl w:val="0"/>
        </w:rPr>
      </w:r>
    </w:p>
    <w:p w:rsidR="00000000" w:rsidDel="00000000" w:rsidP="00000000" w:rsidRDefault="00000000" w:rsidRPr="00000000" w14:paraId="00000114">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Impact of Interwar Protection: Evidence from India - National Bureau of Economic Research | NBER, accessed February 17, 2026, </w:t>
      </w:r>
      <w:hyperlink r:id="rId49">
        <w:r w:rsidDel="00000000" w:rsidR="00000000" w:rsidRPr="00000000">
          <w:rPr>
            <w:rFonts w:ascii="Google Sans" w:cs="Google Sans" w:eastAsia="Google Sans" w:hAnsi="Google Sans"/>
            <w:color w:val="0000ee"/>
            <w:sz w:val="24"/>
            <w:szCs w:val="24"/>
            <w:u w:val="single"/>
            <w:rtl w:val="0"/>
          </w:rPr>
          <w:t xml:space="preserve">https://www.nber.org/system/files/working_papers/w27178/revisions/w27178.rev0.pdf</w:t>
        </w:r>
      </w:hyperlink>
      <w:r w:rsidDel="00000000" w:rsidR="00000000" w:rsidRPr="00000000">
        <w:rPr>
          <w:rtl w:val="0"/>
        </w:rPr>
      </w:r>
    </w:p>
    <w:p w:rsidR="00000000" w:rsidDel="00000000" w:rsidP="00000000" w:rsidRDefault="00000000" w:rsidRPr="00000000" w14:paraId="00000115">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Policy of Discriminating Protection PRC | PDF | Tariff | British Raj - Scribd, accessed February 17, 2026, </w:t>
      </w:r>
      <w:hyperlink r:id="rId50">
        <w:r w:rsidDel="00000000" w:rsidR="00000000" w:rsidRPr="00000000">
          <w:rPr>
            <w:rFonts w:ascii="Google Sans" w:cs="Google Sans" w:eastAsia="Google Sans" w:hAnsi="Google Sans"/>
            <w:color w:val="0000ee"/>
            <w:sz w:val="24"/>
            <w:szCs w:val="24"/>
            <w:u w:val="single"/>
            <w:rtl w:val="0"/>
          </w:rPr>
          <w:t xml:space="preserve">https://www.scribd.com/document/632920083/POLICY-OF-DISCRIMINATING-PROTECTION-PRC</w:t>
        </w:r>
      </w:hyperlink>
      <w:r w:rsidDel="00000000" w:rsidR="00000000" w:rsidRPr="00000000">
        <w:rPr>
          <w:rtl w:val="0"/>
        </w:rPr>
      </w:r>
    </w:p>
    <w:p w:rsidR="00000000" w:rsidDel="00000000" w:rsidP="00000000" w:rsidRDefault="00000000" w:rsidRPr="00000000" w14:paraId="00000116">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Trade Union Act, 1926: Empowering Workers and Promoting Fair Labor Practices, accessed February 17, 2026, </w:t>
      </w:r>
      <w:hyperlink r:id="rId51">
        <w:r w:rsidDel="00000000" w:rsidR="00000000" w:rsidRPr="00000000">
          <w:rPr>
            <w:rFonts w:ascii="Google Sans" w:cs="Google Sans" w:eastAsia="Google Sans" w:hAnsi="Google Sans"/>
            <w:color w:val="0000ee"/>
            <w:sz w:val="24"/>
            <w:szCs w:val="24"/>
            <w:u w:val="single"/>
            <w:rtl w:val="0"/>
          </w:rPr>
          <w:t xml:space="preserve">https://thelaw.institute/business-law-as-applicable-to-co-operative-ii/trade-union-act-1926-empowering-workers-fair-labor/</w:t>
        </w:r>
      </w:hyperlink>
      <w:r w:rsidDel="00000000" w:rsidR="00000000" w:rsidRPr="00000000">
        <w:rPr>
          <w:rtl w:val="0"/>
        </w:rPr>
      </w:r>
    </w:p>
    <w:p w:rsidR="00000000" w:rsidDel="00000000" w:rsidP="00000000" w:rsidRDefault="00000000" w:rsidRPr="00000000" w14:paraId="00000117">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Trade Unions Act, 1926 - People's Archive of Rural India, accessed February 17, 2026, </w:t>
      </w:r>
      <w:hyperlink r:id="rId52">
        <w:r w:rsidDel="00000000" w:rsidR="00000000" w:rsidRPr="00000000">
          <w:rPr>
            <w:rFonts w:ascii="Google Sans" w:cs="Google Sans" w:eastAsia="Google Sans" w:hAnsi="Google Sans"/>
            <w:color w:val="0000ee"/>
            <w:sz w:val="24"/>
            <w:szCs w:val="24"/>
            <w:u w:val="single"/>
            <w:rtl w:val="0"/>
          </w:rPr>
          <w:t xml:space="preserve">https://ruralindiaonline.org/en/library/resource/the-trade-unions-act-1926/</w:t>
        </w:r>
      </w:hyperlink>
      <w:r w:rsidDel="00000000" w:rsidR="00000000" w:rsidRPr="00000000">
        <w:rPr>
          <w:rtl w:val="0"/>
        </w:rPr>
      </w:r>
    </w:p>
    <w:p w:rsidR="00000000" w:rsidDel="00000000" w:rsidP="00000000" w:rsidRDefault="00000000" w:rsidRPr="00000000" w14:paraId="00000118">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Royal Commission on Labour - Wikipedia, accessed February 17, 2026, </w:t>
      </w:r>
      <w:hyperlink r:id="rId53">
        <w:r w:rsidDel="00000000" w:rsidR="00000000" w:rsidRPr="00000000">
          <w:rPr>
            <w:rFonts w:ascii="Google Sans" w:cs="Google Sans" w:eastAsia="Google Sans" w:hAnsi="Google Sans"/>
            <w:color w:val="0000ee"/>
            <w:sz w:val="24"/>
            <w:szCs w:val="24"/>
            <w:u w:val="single"/>
            <w:rtl w:val="0"/>
          </w:rPr>
          <w:t xml:space="preserve">https://en.wikipedia.org/wiki/Royal_Commission_on_Labour</w:t>
        </w:r>
      </w:hyperlink>
      <w:r w:rsidDel="00000000" w:rsidR="00000000" w:rsidRPr="00000000">
        <w:rPr>
          <w:rtl w:val="0"/>
        </w:rPr>
      </w:r>
    </w:p>
    <w:p w:rsidR="00000000" w:rsidDel="00000000" w:rsidP="00000000" w:rsidRDefault="00000000" w:rsidRPr="00000000" w14:paraId="00000119">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Wages Definition - Minimum wage - Fair wage - Living wage - Whitley Commission's Recommendations - Whatishumanresource.com, accessed February 17, 2026, </w:t>
      </w:r>
      <w:hyperlink r:id="rId54">
        <w:r w:rsidDel="00000000" w:rsidR="00000000" w:rsidRPr="00000000">
          <w:rPr>
            <w:rFonts w:ascii="Google Sans" w:cs="Google Sans" w:eastAsia="Google Sans" w:hAnsi="Google Sans"/>
            <w:color w:val="0000ee"/>
            <w:sz w:val="24"/>
            <w:szCs w:val="24"/>
            <w:u w:val="single"/>
            <w:rtl w:val="0"/>
          </w:rPr>
          <w:t xml:space="preserve">https://www.whatishumanresource.com/wages-definition</w:t>
        </w:r>
      </w:hyperlink>
      <w:r w:rsidDel="00000000" w:rsidR="00000000" w:rsidRPr="00000000">
        <w:rPr>
          <w:rtl w:val="0"/>
        </w:rPr>
      </w:r>
    </w:p>
    <w:p w:rsidR="00000000" w:rsidDel="00000000" w:rsidP="00000000" w:rsidRDefault="00000000" w:rsidRPr="00000000" w14:paraId="0000011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Theory, Background, Features, Process, Causes, Impacts, accessed February 17, 2026, </w:t>
      </w:r>
      <w:hyperlink r:id="rId55">
        <w:r w:rsidDel="00000000" w:rsidR="00000000" w:rsidRPr="00000000">
          <w:rPr>
            <w:rFonts w:ascii="Google Sans" w:cs="Google Sans" w:eastAsia="Google Sans" w:hAnsi="Google Sans"/>
            <w:color w:val="0000ee"/>
            <w:sz w:val="24"/>
            <w:szCs w:val="24"/>
            <w:u w:val="single"/>
            <w:rtl w:val="0"/>
          </w:rPr>
          <w:t xml:space="preserve">https://vajiramandravi.com/upsc-exam/drain-of-wealth-theory/</w:t>
        </w:r>
      </w:hyperlink>
      <w:r w:rsidDel="00000000" w:rsidR="00000000" w:rsidRPr="00000000">
        <w:rPr>
          <w:rtl w:val="0"/>
        </w:rPr>
      </w:r>
    </w:p>
    <w:p w:rsidR="00000000" w:rsidDel="00000000" w:rsidP="00000000" w:rsidRDefault="00000000" w:rsidRPr="00000000" w14:paraId="0000011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Drain of Wealth: Colonialism before the First World War - Monthly Review, accessed February 17, 2026, </w:t>
      </w:r>
      <w:hyperlink r:id="rId56">
        <w:r w:rsidDel="00000000" w:rsidR="00000000" w:rsidRPr="00000000">
          <w:rPr>
            <w:rFonts w:ascii="Google Sans" w:cs="Google Sans" w:eastAsia="Google Sans" w:hAnsi="Google Sans"/>
            <w:color w:val="0000ee"/>
            <w:sz w:val="24"/>
            <w:szCs w:val="24"/>
            <w:u w:val="single"/>
            <w:rtl w:val="0"/>
          </w:rPr>
          <w:t xml:space="preserve">https://monthlyreview.org/articles/the-drain-of-wealth/</w:t>
        </w:r>
      </w:hyperlink>
      <w:r w:rsidDel="00000000" w:rsidR="00000000" w:rsidRPr="00000000">
        <w:rPr>
          <w:rtl w:val="0"/>
        </w:rPr>
      </w:r>
    </w:p>
    <w:p w:rsidR="00000000" w:rsidDel="00000000" w:rsidP="00000000" w:rsidRDefault="00000000" w:rsidRPr="00000000" w14:paraId="0000011C">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Drain Gain: An investigation into how colonial drain helped keep British economy buoyant - Economics, accessed February 17, 2026, </w:t>
      </w:r>
      <w:hyperlink r:id="rId57">
        <w:r w:rsidDel="00000000" w:rsidR="00000000" w:rsidRPr="00000000">
          <w:rPr>
            <w:rFonts w:ascii="Google Sans" w:cs="Google Sans" w:eastAsia="Google Sans" w:hAnsi="Google Sans"/>
            <w:color w:val="0000ee"/>
            <w:sz w:val="24"/>
            <w:szCs w:val="24"/>
            <w:u w:val="single"/>
            <w:rtl w:val="0"/>
          </w:rPr>
          <w:t xml:space="preserve">https://www.econ.utah.edu/research/publications/2023-01.pdf</w:t>
        </w:r>
      </w:hyperlink>
      <w:r w:rsidDel="00000000" w:rsidR="00000000" w:rsidRPr="00000000">
        <w:rPr>
          <w:rtl w:val="0"/>
        </w:rPr>
      </w:r>
    </w:p>
    <w:p w:rsidR="00000000" w:rsidDel="00000000" w:rsidP="00000000" w:rsidRDefault="00000000" w:rsidRPr="00000000" w14:paraId="0000011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Theory - NextIAS, accessed February 17, 2026, </w:t>
      </w:r>
      <w:hyperlink r:id="rId58">
        <w:r w:rsidDel="00000000" w:rsidR="00000000" w:rsidRPr="00000000">
          <w:rPr>
            <w:rFonts w:ascii="Google Sans" w:cs="Google Sans" w:eastAsia="Google Sans" w:hAnsi="Google Sans"/>
            <w:color w:val="0000ee"/>
            <w:sz w:val="24"/>
            <w:szCs w:val="24"/>
            <w:u w:val="single"/>
            <w:rtl w:val="0"/>
          </w:rPr>
          <w:t xml:space="preserve">https://www.nextias.com/blog/drain-of-wealth-theory/</w:t>
        </w:r>
      </w:hyperlink>
      <w:r w:rsidDel="00000000" w:rsidR="00000000" w:rsidRPr="00000000">
        <w:rPr>
          <w:rtl w:val="0"/>
        </w:rPr>
      </w:r>
    </w:p>
    <w:p w:rsidR="00000000" w:rsidDel="00000000" w:rsidP="00000000" w:rsidRDefault="00000000" w:rsidRPr="00000000" w14:paraId="0000011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Which of the following was/were the components of 'Home Charges' during British Rule? 1. Dividend to the shareholders of the East India Company. 2. Interest on Public Debt raised abroad. 3. Interest on foreign capital investments. Select the correct answer using the code given below. - Testbook, accessed February 17, 2026, </w:t>
      </w:r>
      <w:hyperlink r:id="rId59">
        <w:r w:rsidDel="00000000" w:rsidR="00000000" w:rsidRPr="00000000">
          <w:rPr>
            <w:rFonts w:ascii="Google Sans" w:cs="Google Sans" w:eastAsia="Google Sans" w:hAnsi="Google Sans"/>
            <w:color w:val="0000ee"/>
            <w:sz w:val="24"/>
            <w:szCs w:val="24"/>
            <w:u w:val="single"/>
            <w:rtl w:val="0"/>
          </w:rPr>
          <w:t xml:space="preserve">https://testbook.com/question-answer/which-of-the-following-waswere-the-components-of--5f97981ee340be8a35d3a505</w:t>
        </w:r>
      </w:hyperlink>
      <w:r w:rsidDel="00000000" w:rsidR="00000000" w:rsidRPr="00000000">
        <w:rPr>
          <w:rtl w:val="0"/>
        </w:rPr>
      </w:r>
    </w:p>
    <w:p w:rsidR="00000000" w:rsidDel="00000000" w:rsidP="00000000" w:rsidRDefault="00000000" w:rsidRPr="00000000" w14:paraId="0000011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Home Charges in British India - GKToday, accessed February 17, 2026, </w:t>
      </w:r>
      <w:hyperlink r:id="rId60">
        <w:r w:rsidDel="00000000" w:rsidR="00000000" w:rsidRPr="00000000">
          <w:rPr>
            <w:rFonts w:ascii="Google Sans" w:cs="Google Sans" w:eastAsia="Google Sans" w:hAnsi="Google Sans"/>
            <w:color w:val="0000ee"/>
            <w:sz w:val="24"/>
            <w:szCs w:val="24"/>
            <w:u w:val="single"/>
            <w:rtl w:val="0"/>
          </w:rPr>
          <w:t xml:space="preserve">https://www.gktoday.in/home-charges-in-british-india/</w:t>
        </w:r>
      </w:hyperlink>
      <w:r w:rsidDel="00000000" w:rsidR="00000000" w:rsidRPr="00000000">
        <w:rPr>
          <w:rtl w:val="0"/>
        </w:rPr>
      </w:r>
    </w:p>
    <w:p w:rsidR="00000000" w:rsidDel="00000000" w:rsidP="00000000" w:rsidRDefault="00000000" w:rsidRPr="00000000" w14:paraId="0000012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 self study history, accessed February 17, 2026, </w:t>
      </w:r>
      <w:hyperlink r:id="rId61">
        <w:r w:rsidDel="00000000" w:rsidR="00000000" w:rsidRPr="00000000">
          <w:rPr>
            <w:rFonts w:ascii="Google Sans" w:cs="Google Sans" w:eastAsia="Google Sans" w:hAnsi="Google Sans"/>
            <w:color w:val="0000ee"/>
            <w:sz w:val="24"/>
            <w:szCs w:val="24"/>
            <w:u w:val="single"/>
            <w:rtl w:val="0"/>
          </w:rPr>
          <w:t xml:space="preserve">https://selfstudyhistory.com/2015/10/15/drain-of-wealth/</w:t>
        </w:r>
      </w:hyperlink>
      <w:r w:rsidDel="00000000" w:rsidR="00000000" w:rsidRPr="00000000">
        <w:rPr>
          <w:rtl w:val="0"/>
        </w:rPr>
      </w:r>
    </w:p>
    <w:p w:rsidR="00000000" w:rsidDel="00000000" w:rsidP="00000000" w:rsidRDefault="00000000" w:rsidRPr="00000000" w14:paraId="0000012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New Economic Policy 1991, Objectives, Features, Impacts - Vajiram &amp; Ravi, accessed February 17, 2026, </w:t>
      </w:r>
      <w:hyperlink r:id="rId62">
        <w:r w:rsidDel="00000000" w:rsidR="00000000" w:rsidRPr="00000000">
          <w:rPr>
            <w:rFonts w:ascii="Google Sans" w:cs="Google Sans" w:eastAsia="Google Sans" w:hAnsi="Google Sans"/>
            <w:color w:val="0000ee"/>
            <w:sz w:val="24"/>
            <w:szCs w:val="24"/>
            <w:u w:val="single"/>
            <w:rtl w:val="0"/>
          </w:rPr>
          <w:t xml:space="preserve">https://vajiramandravi.com/upsc-exam/new-economic-policy-1991/</w:t>
        </w:r>
      </w:hyperlink>
      <w:r w:rsidDel="00000000" w:rsidR="00000000" w:rsidRPr="00000000">
        <w:rPr>
          <w:rtl w:val="0"/>
        </w:rPr>
      </w:r>
    </w:p>
    <w:p w:rsidR="00000000" w:rsidDel="00000000" w:rsidP="00000000" w:rsidRDefault="00000000" w:rsidRPr="00000000" w14:paraId="00000122">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How to prepare for Economic Reforms in India for CUET-UG - Sathee Forum, accessed February 17, 2026, </w:t>
      </w:r>
      <w:hyperlink r:id="rId63">
        <w:r w:rsidDel="00000000" w:rsidR="00000000" w:rsidRPr="00000000">
          <w:rPr>
            <w:rFonts w:ascii="Google Sans" w:cs="Google Sans" w:eastAsia="Google Sans" w:hAnsi="Google Sans"/>
            <w:color w:val="0000ee"/>
            <w:sz w:val="24"/>
            <w:szCs w:val="24"/>
            <w:u w:val="single"/>
            <w:rtl w:val="0"/>
          </w:rPr>
          <w:t xml:space="preserve">https://forum.prutor.ai/index.php?threads/how-to-prepare-for-economic-reforms-in-india-for-cuet-ug.13659/</w:t>
        </w:r>
      </w:hyperlink>
      <w:r w:rsidDel="00000000" w:rsidR="00000000" w:rsidRPr="00000000">
        <w:rPr>
          <w:rtl w:val="0"/>
        </w:rPr>
      </w:r>
    </w:p>
    <w:p w:rsidR="00000000" w:rsidDel="00000000" w:rsidP="00000000" w:rsidRDefault="00000000" w:rsidRPr="00000000" w14:paraId="00000123">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Rural Development in India: Through Employment Programmes - Deshapran Mahavidyalaya, accessed February 17, 2026, </w:t>
      </w:r>
      <w:hyperlink r:id="rId64">
        <w:r w:rsidDel="00000000" w:rsidR="00000000" w:rsidRPr="00000000">
          <w:rPr>
            <w:rFonts w:ascii="Google Sans" w:cs="Google Sans" w:eastAsia="Google Sans" w:hAnsi="Google Sans"/>
            <w:color w:val="0000ee"/>
            <w:sz w:val="24"/>
            <w:szCs w:val="24"/>
            <w:u w:val="single"/>
            <w:rtl w:val="0"/>
          </w:rPr>
          <w:t xml:space="preserve">https://www.deshapranmahavidyalaya.edu.in/wp-content/uploads/2024/05/37-Rural-Development-in-India-through-Employment-Programmes.pdf</w:t>
        </w:r>
      </w:hyperlink>
      <w:r w:rsidDel="00000000" w:rsidR="00000000" w:rsidRPr="00000000">
        <w:rPr>
          <w:rtl w:val="0"/>
        </w:rPr>
      </w:r>
    </w:p>
    <w:p w:rsidR="00000000" w:rsidDel="00000000" w:rsidP="00000000" w:rsidRDefault="00000000" w:rsidRPr="00000000" w14:paraId="00000124">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Anti Poverty &amp; Employment Generation Programmes in India, accessed February 17, 2026, </w:t>
      </w:r>
      <w:hyperlink r:id="rId65">
        <w:r w:rsidDel="00000000" w:rsidR="00000000" w:rsidRPr="00000000">
          <w:rPr>
            <w:rFonts w:ascii="Google Sans" w:cs="Google Sans" w:eastAsia="Google Sans" w:hAnsi="Google Sans"/>
            <w:color w:val="0000ee"/>
            <w:sz w:val="24"/>
            <w:szCs w:val="24"/>
            <w:u w:val="single"/>
            <w:rtl w:val="0"/>
          </w:rPr>
          <w:t xml:space="preserve">https://www.jagranjosh.com/general-knowledge/anti-poverty-employment-generation-programmes-in-india-1448531927-1</w:t>
        </w:r>
      </w:hyperlink>
      <w:r w:rsidDel="00000000" w:rsidR="00000000" w:rsidRPr="00000000">
        <w:rPr>
          <w:rtl w:val="0"/>
        </w:rPr>
      </w:r>
    </w:p>
    <w:p w:rsidR="00000000" w:rsidDel="00000000" w:rsidP="00000000" w:rsidRDefault="00000000" w:rsidRPr="00000000" w14:paraId="00000125">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Anti-poverty measures and Employment Generating Programmes - R N College, accessed February 17, 2026, </w:t>
      </w:r>
      <w:hyperlink r:id="rId66">
        <w:r w:rsidDel="00000000" w:rsidR="00000000" w:rsidRPr="00000000">
          <w:rPr>
            <w:rFonts w:ascii="Google Sans" w:cs="Google Sans" w:eastAsia="Google Sans" w:hAnsi="Google Sans"/>
            <w:color w:val="0000ee"/>
            <w:sz w:val="24"/>
            <w:szCs w:val="24"/>
            <w:u w:val="single"/>
            <w:rtl w:val="0"/>
          </w:rPr>
          <w:t xml:space="preserve">https://www.rncollegehajipur.in/rn/uploads/products/Anti-poverty%20measures%20and%20Employment%20Generating%20Programmes.pdf</w:t>
        </w:r>
      </w:hyperlink>
      <w:r w:rsidDel="00000000" w:rsidR="00000000" w:rsidRPr="00000000">
        <w:rPr>
          <w:rtl w:val="0"/>
        </w:rPr>
      </w:r>
    </w:p>
    <w:p w:rsidR="00000000" w:rsidDel="00000000" w:rsidP="00000000" w:rsidRDefault="00000000" w:rsidRPr="00000000" w14:paraId="00000126">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Rural Development Programme - 1 - Indian Economy for UPSC CSE PDF Download, accessed February 17, 2026, </w:t>
      </w:r>
      <w:hyperlink r:id="rId67">
        <w:r w:rsidDel="00000000" w:rsidR="00000000" w:rsidRPr="00000000">
          <w:rPr>
            <w:rFonts w:ascii="Google Sans" w:cs="Google Sans" w:eastAsia="Google Sans" w:hAnsi="Google Sans"/>
            <w:color w:val="0000ee"/>
            <w:sz w:val="24"/>
            <w:szCs w:val="24"/>
            <w:u w:val="single"/>
            <w:rtl w:val="0"/>
          </w:rPr>
          <w:t xml:space="preserve">https://edurev.in/t/117140/Rural-Development-Programme--Part--1---Economy-Tra</w:t>
        </w:r>
      </w:hyperlink>
      <w:r w:rsidDel="00000000" w:rsidR="00000000" w:rsidRPr="00000000">
        <w:rPr>
          <w:rtl w:val="0"/>
        </w:rPr>
      </w:r>
    </w:p>
    <w:p w:rsidR="00000000" w:rsidDel="00000000" w:rsidP="00000000" w:rsidRDefault="00000000" w:rsidRPr="00000000" w14:paraId="00000127">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Mahatma Gandhi National Rural Employment Guarantee Act, 2005 - Wikipedia, accessed February 17, 2026, </w:t>
      </w:r>
      <w:hyperlink r:id="rId68">
        <w:r w:rsidDel="00000000" w:rsidR="00000000" w:rsidRPr="00000000">
          <w:rPr>
            <w:rFonts w:ascii="Google Sans" w:cs="Google Sans" w:eastAsia="Google Sans" w:hAnsi="Google Sans"/>
            <w:color w:val="0000ee"/>
            <w:sz w:val="24"/>
            <w:szCs w:val="24"/>
            <w:u w:val="single"/>
            <w:rtl w:val="0"/>
          </w:rPr>
          <w:t xml:space="preserve">https://en.wikipedia.org/wiki/Mahatma_Gandhi_National_Rural_Employment_Guarantee_Act,_2005</w:t>
        </w:r>
      </w:hyperlink>
      <w:r w:rsidDel="00000000" w:rsidR="00000000" w:rsidRPr="00000000">
        <w:rPr>
          <w:rtl w:val="0"/>
        </w:rPr>
      </w:r>
    </w:p>
    <w:p w:rsidR="00000000" w:rsidDel="00000000" w:rsidP="00000000" w:rsidRDefault="00000000" w:rsidRPr="00000000" w14:paraId="00000128">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Objective of NREGA | Official website of State Rural Employment Society, Government of Meghalaya, India, accessed February 17, 2026, </w:t>
      </w:r>
      <w:hyperlink r:id="rId69">
        <w:r w:rsidDel="00000000" w:rsidR="00000000" w:rsidRPr="00000000">
          <w:rPr>
            <w:rFonts w:ascii="Google Sans" w:cs="Google Sans" w:eastAsia="Google Sans" w:hAnsi="Google Sans"/>
            <w:color w:val="0000ee"/>
            <w:sz w:val="24"/>
            <w:szCs w:val="24"/>
            <w:u w:val="single"/>
            <w:rtl w:val="0"/>
          </w:rPr>
          <w:t xml:space="preserve">https://megsres.nic.in/objective-nrega</w:t>
        </w:r>
      </w:hyperlink>
      <w:r w:rsidDel="00000000" w:rsidR="00000000" w:rsidRPr="00000000">
        <w:rPr>
          <w:rtl w:val="0"/>
        </w:rPr>
      </w:r>
    </w:p>
    <w:p w:rsidR="00000000" w:rsidDel="00000000" w:rsidP="00000000" w:rsidRDefault="00000000" w:rsidRPr="00000000" w14:paraId="00000129">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How MNREGA reduced women's labour force participation - Ideas for India, accessed February 17, 2026, </w:t>
      </w:r>
      <w:hyperlink r:id="rId70">
        <w:r w:rsidDel="00000000" w:rsidR="00000000" w:rsidRPr="00000000">
          <w:rPr>
            <w:rFonts w:ascii="Google Sans" w:cs="Google Sans" w:eastAsia="Google Sans" w:hAnsi="Google Sans"/>
            <w:color w:val="0000ee"/>
            <w:sz w:val="24"/>
            <w:szCs w:val="24"/>
            <w:u w:val="single"/>
            <w:rtl w:val="0"/>
          </w:rPr>
          <w:t xml:space="preserve">https://www.ideasforindia.in/topics/social-identity/how-mnrega-reduced-women-s-labour-force-participation</w:t>
        </w:r>
      </w:hyperlink>
      <w:r w:rsidDel="00000000" w:rsidR="00000000" w:rsidRPr="00000000">
        <w:rPr>
          <w:rtl w:val="0"/>
        </w:rPr>
      </w:r>
    </w:p>
    <w:p w:rsidR="00000000" w:rsidDel="00000000" w:rsidP="00000000" w:rsidRDefault="00000000" w:rsidRPr="00000000" w14:paraId="0000012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India transi ons towards a high-growth and resilient economy - PIB, accessed February 17, 2026, </w:t>
      </w:r>
      <w:hyperlink r:id="rId71">
        <w:r w:rsidDel="00000000" w:rsidR="00000000" w:rsidRPr="00000000">
          <w:rPr>
            <w:rFonts w:ascii="Google Sans" w:cs="Google Sans" w:eastAsia="Google Sans" w:hAnsi="Google Sans"/>
            <w:color w:val="0000ee"/>
            <w:sz w:val="24"/>
            <w:szCs w:val="24"/>
            <w:u w:val="single"/>
            <w:rtl w:val="0"/>
          </w:rPr>
          <w:t xml:space="preserve">https://static.pib.gov.in/WriteReadData/specificdocs/documents/2026/jan/doc2026130774501.pdf</w:t>
        </w:r>
      </w:hyperlink>
      <w:r w:rsidDel="00000000" w:rsidR="00000000" w:rsidRPr="00000000">
        <w:rPr>
          <w:rtl w:val="0"/>
        </w:rPr>
      </w:r>
    </w:p>
    <w:p w:rsidR="00000000" w:rsidDel="00000000" w:rsidP="00000000" w:rsidRDefault="00000000" w:rsidRPr="00000000" w14:paraId="0000012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Key Highlights &amp; Analysis - PMF IAS, accessed February 17, 2026, </w:t>
      </w:r>
      <w:hyperlink r:id="rId72">
        <w:r w:rsidDel="00000000" w:rsidR="00000000" w:rsidRPr="00000000">
          <w:rPr>
            <w:rFonts w:ascii="Google Sans" w:cs="Google Sans" w:eastAsia="Google Sans" w:hAnsi="Google Sans"/>
            <w:color w:val="0000ee"/>
            <w:sz w:val="24"/>
            <w:szCs w:val="24"/>
            <w:u w:val="single"/>
            <w:rtl w:val="0"/>
          </w:rPr>
          <w:t xml:space="preserve">https://www.pmfias.com/economic-survey-2025-26-highlights/</w:t>
        </w:r>
      </w:hyperlink>
      <w:r w:rsidDel="00000000" w:rsidR="00000000" w:rsidRPr="00000000">
        <w:rPr>
          <w:rtl w:val="0"/>
        </w:rPr>
      </w:r>
    </w:p>
    <w:p w:rsidR="00000000" w:rsidDel="00000000" w:rsidP="00000000" w:rsidRDefault="00000000" w:rsidRPr="00000000" w14:paraId="0000012C">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Key Highlights &amp; Summary PDF Download, accessed February 17, 2026, </w:t>
      </w:r>
      <w:hyperlink r:id="rId73">
        <w:r w:rsidDel="00000000" w:rsidR="00000000" w:rsidRPr="00000000">
          <w:rPr>
            <w:rFonts w:ascii="Google Sans" w:cs="Google Sans" w:eastAsia="Google Sans" w:hAnsi="Google Sans"/>
            <w:color w:val="0000ee"/>
            <w:sz w:val="24"/>
            <w:szCs w:val="24"/>
            <w:u w:val="single"/>
            <w:rtl w:val="0"/>
          </w:rPr>
          <w:t xml:space="preserve">https://padhai.ai/economy/economic-survey-2025-26-highlights-pdf</w:t>
        </w:r>
      </w:hyperlink>
      <w:r w:rsidDel="00000000" w:rsidR="00000000" w:rsidRPr="00000000">
        <w:rPr>
          <w:rtl w:val="0"/>
        </w:rPr>
      </w:r>
    </w:p>
    <w:p w:rsidR="00000000" w:rsidDel="00000000" w:rsidP="00000000" w:rsidRDefault="00000000" w:rsidRPr="00000000" w14:paraId="0000012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 PIB, accessed February 17, 2026, </w:t>
      </w:r>
      <w:hyperlink r:id="rId74">
        <w:r w:rsidDel="00000000" w:rsidR="00000000" w:rsidRPr="00000000">
          <w:rPr>
            <w:rFonts w:ascii="Google Sans" w:cs="Google Sans" w:eastAsia="Google Sans" w:hAnsi="Google Sans"/>
            <w:color w:val="0000ee"/>
            <w:sz w:val="24"/>
            <w:szCs w:val="24"/>
            <w:u w:val="single"/>
            <w:rtl w:val="0"/>
          </w:rPr>
          <w:t xml:space="preserve">https://www.pib.gov.in/PressReleasePage.aspx?PRID=2220800</w:t>
        </w:r>
      </w:hyperlink>
      <w:r w:rsidDel="00000000" w:rsidR="00000000" w:rsidRPr="00000000">
        <w:rPr>
          <w:rtl w:val="0"/>
        </w:rPr>
      </w:r>
    </w:p>
    <w:p w:rsidR="00000000" w:rsidDel="00000000" w:rsidP="00000000" w:rsidRDefault="00000000" w:rsidRPr="00000000" w14:paraId="0000012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Analysis and Key Findings - IBEF.org, accessed February 17, 2026, </w:t>
      </w:r>
      <w:hyperlink r:id="rId75">
        <w:r w:rsidDel="00000000" w:rsidR="00000000" w:rsidRPr="00000000">
          <w:rPr>
            <w:rFonts w:ascii="Google Sans" w:cs="Google Sans" w:eastAsia="Google Sans" w:hAnsi="Google Sans"/>
            <w:color w:val="0000ee"/>
            <w:sz w:val="24"/>
            <w:szCs w:val="24"/>
            <w:u w:val="single"/>
            <w:rtl w:val="0"/>
          </w:rPr>
          <w:t xml:space="preserve">https://www.ibef.org/economy/economic-survey-2025-26</w:t>
        </w:r>
      </w:hyperlink>
      <w:r w:rsidDel="00000000" w:rsidR="00000000" w:rsidRPr="00000000">
        <w:rPr>
          <w:rtl w:val="0"/>
        </w:rPr>
      </w:r>
    </w:p>
    <w:p w:rsidR="00000000" w:rsidDel="00000000" w:rsidP="00000000" w:rsidRDefault="00000000" w:rsidRPr="00000000" w14:paraId="0000012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 Drishti IAS, accessed February 17, 2026, </w:t>
      </w:r>
      <w:hyperlink r:id="rId76">
        <w:r w:rsidDel="00000000" w:rsidR="00000000" w:rsidRPr="00000000">
          <w:rPr>
            <w:rFonts w:ascii="Google Sans" w:cs="Google Sans" w:eastAsia="Google Sans" w:hAnsi="Google Sans"/>
            <w:color w:val="0000ee"/>
            <w:sz w:val="24"/>
            <w:szCs w:val="24"/>
            <w:u w:val="single"/>
            <w:rtl w:val="0"/>
          </w:rPr>
          <w:t xml:space="preserve">https://www.drishtiias.com/daily-updates/daily-news-analysis/economic-survey-2025-26</w:t>
        </w:r>
      </w:hyperlink>
      <w:r w:rsidDel="00000000" w:rsidR="00000000" w:rsidRPr="00000000">
        <w:rPr>
          <w:rtl w:val="0"/>
        </w:rPr>
      </w:r>
    </w:p>
    <w:p w:rsidR="00000000" w:rsidDel="00000000" w:rsidP="00000000" w:rsidRDefault="00000000" w:rsidRPr="00000000" w14:paraId="0000013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 Committee Reports, accessed February 17, 2026, </w:t>
      </w:r>
      <w:hyperlink r:id="rId77">
        <w:r w:rsidDel="00000000" w:rsidR="00000000" w:rsidRPr="00000000">
          <w:rPr>
            <w:rFonts w:ascii="Google Sans" w:cs="Google Sans" w:eastAsia="Google Sans" w:hAnsi="Google Sans"/>
            <w:color w:val="0000ee"/>
            <w:sz w:val="24"/>
            <w:szCs w:val="24"/>
            <w:u w:val="single"/>
            <w:rtl w:val="0"/>
          </w:rPr>
          <w:t xml:space="preserve">https://prsindia.org/policy/report-summaries/economic-survey-2025-26</w:t>
        </w:r>
      </w:hyperlink>
      <w:r w:rsidDel="00000000" w:rsidR="00000000" w:rsidRPr="00000000">
        <w:rPr>
          <w:rtl w:val="0"/>
        </w:rPr>
      </w:r>
    </w:p>
    <w:p w:rsidR="00000000" w:rsidDel="00000000" w:rsidP="00000000" w:rsidRDefault="00000000" w:rsidRPr="00000000" w14:paraId="0000013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Highlights - Union Budget, accessed February 17, 2026, </w:t>
      </w:r>
      <w:hyperlink r:id="rId78">
        <w:r w:rsidDel="00000000" w:rsidR="00000000" w:rsidRPr="00000000">
          <w:rPr>
            <w:rFonts w:ascii="Google Sans" w:cs="Google Sans" w:eastAsia="Google Sans" w:hAnsi="Google Sans"/>
            <w:color w:val="0000ee"/>
            <w:sz w:val="24"/>
            <w:szCs w:val="24"/>
            <w:u w:val="single"/>
            <w:rtl w:val="0"/>
          </w:rPr>
          <w:t xml:space="preserve">https://www.indiabudget.gov.in/economicsurvey/doc/Infographics%20English.pdf</w:t>
        </w:r>
      </w:hyperlink>
      <w:r w:rsidDel="00000000" w:rsidR="00000000" w:rsidRPr="00000000">
        <w:rPr>
          <w:rtl w:val="0"/>
        </w:rPr>
      </w:r>
    </w:p>
    <w:p w:rsidR="00000000" w:rsidDel="00000000" w:rsidP="00000000" w:rsidRDefault="00000000" w:rsidRPr="00000000" w14:paraId="00000132">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economic survey 2025-26 - PIB, accessed February 17, 2026, </w:t>
      </w:r>
      <w:hyperlink r:id="rId79">
        <w:r w:rsidDel="00000000" w:rsidR="00000000" w:rsidRPr="00000000">
          <w:rPr>
            <w:rFonts w:ascii="Google Sans" w:cs="Google Sans" w:eastAsia="Google Sans" w:hAnsi="Google Sans"/>
            <w:color w:val="0000ee"/>
            <w:sz w:val="24"/>
            <w:szCs w:val="24"/>
            <w:u w:val="single"/>
            <w:rtl w:val="0"/>
          </w:rPr>
          <w:t xml:space="preserve">https://www.pib.gov.in/PressReleasePage.aspx?PRID=2219907</w:t>
        </w:r>
      </w:hyperlink>
      <w:r w:rsidDel="00000000" w:rsidR="00000000" w:rsidRPr="00000000">
        <w:rPr>
          <w:rtl w:val="0"/>
        </w:rPr>
      </w:r>
    </w:p>
    <w:p w:rsidR="00000000" w:rsidDel="00000000" w:rsidP="00000000" w:rsidRDefault="00000000" w:rsidRPr="00000000" w14:paraId="00000133">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Coase Theorem and Tax Law, accessed February 17, 2026, </w:t>
      </w:r>
      <w:hyperlink r:id="rId80">
        <w:r w:rsidDel="00000000" w:rsidR="00000000" w:rsidRPr="00000000">
          <w:rPr>
            <w:rFonts w:ascii="Google Sans" w:cs="Google Sans" w:eastAsia="Google Sans" w:hAnsi="Google Sans"/>
            <w:color w:val="0000ee"/>
            <w:sz w:val="24"/>
            <w:szCs w:val="24"/>
            <w:u w:val="single"/>
            <w:rtl w:val="0"/>
          </w:rPr>
          <w:t xml:space="preserve">https://law.yale.edu/sites/default/files/area/workshop/leo/document/J._Slemrod.pdf</w:t>
        </w:r>
      </w:hyperlink>
      <w:r w:rsidDel="00000000" w:rsidR="00000000" w:rsidRPr="00000000">
        <w:rPr>
          <w:rtl w:val="0"/>
        </w:rPr>
      </w:r>
    </w:p>
    <w:p w:rsidR="00000000" w:rsidDel="00000000" w:rsidP="00000000" w:rsidRDefault="00000000" w:rsidRPr="00000000" w14:paraId="00000134">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Public economics - Wikipedia, accessed February 17, 2026, </w:t>
      </w:r>
      <w:hyperlink r:id="rId81">
        <w:r w:rsidDel="00000000" w:rsidR="00000000" w:rsidRPr="00000000">
          <w:rPr>
            <w:rFonts w:ascii="Google Sans" w:cs="Google Sans" w:eastAsia="Google Sans" w:hAnsi="Google Sans"/>
            <w:color w:val="0000ee"/>
            <w:sz w:val="24"/>
            <w:szCs w:val="24"/>
            <w:u w:val="single"/>
            <w:rtl w:val="0"/>
          </w:rPr>
          <w:t xml:space="preserve">https://en.wikipedia.org/wiki/Public_economics</w:t>
        </w:r>
      </w:hyperlink>
      <w:r w:rsidDel="00000000" w:rsidR="00000000" w:rsidRPr="00000000">
        <w:rPr>
          <w:rtl w:val="0"/>
        </w:rPr>
      </w:r>
    </w:p>
    <w:p w:rsidR="00000000" w:rsidDel="00000000" w:rsidP="00000000" w:rsidRDefault="00000000" w:rsidRPr="00000000" w14:paraId="00000135">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FRBM Act: Objectives, Key Features, Amendments, Criticism - Physics Wallah, accessed February 17, 2026, </w:t>
      </w:r>
      <w:hyperlink r:id="rId82">
        <w:r w:rsidDel="00000000" w:rsidR="00000000" w:rsidRPr="00000000">
          <w:rPr>
            <w:rFonts w:ascii="Google Sans" w:cs="Google Sans" w:eastAsia="Google Sans" w:hAnsi="Google Sans"/>
            <w:color w:val="0000ee"/>
            <w:sz w:val="24"/>
            <w:szCs w:val="24"/>
            <w:u w:val="single"/>
            <w:rtl w:val="0"/>
          </w:rPr>
          <w:t xml:space="preserve">https://www.pw.live/upsc/exams/frbm-act</w:t>
        </w:r>
      </w:hyperlink>
      <w:r w:rsidDel="00000000" w:rsidR="00000000" w:rsidRPr="00000000">
        <w:rPr>
          <w:rtl w:val="0"/>
        </w:rPr>
      </w:r>
    </w:p>
    <w:p w:rsidR="00000000" w:rsidDel="00000000" w:rsidP="00000000" w:rsidRDefault="00000000" w:rsidRPr="00000000" w14:paraId="00000136">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FRBM Act 2003 UPSC Notes - Purpose, Features, Advantages &amp; Issues - Testbook, accessed February 17, 2026, </w:t>
      </w:r>
      <w:hyperlink r:id="rId83">
        <w:r w:rsidDel="00000000" w:rsidR="00000000" w:rsidRPr="00000000">
          <w:rPr>
            <w:rFonts w:ascii="Google Sans" w:cs="Google Sans" w:eastAsia="Google Sans" w:hAnsi="Google Sans"/>
            <w:color w:val="0000ee"/>
            <w:sz w:val="24"/>
            <w:szCs w:val="24"/>
            <w:u w:val="single"/>
            <w:rtl w:val="0"/>
          </w:rPr>
          <w:t xml:space="preserve">https://testbook.com/ias-preparation/fiscal-responsibility-budget-management</w:t>
        </w:r>
      </w:hyperlink>
      <w:r w:rsidDel="00000000" w:rsidR="00000000" w:rsidRPr="00000000">
        <w:rPr>
          <w:rtl w:val="0"/>
        </w:rPr>
      </w:r>
    </w:p>
    <w:p w:rsidR="00000000" w:rsidDel="00000000" w:rsidP="00000000" w:rsidRDefault="00000000" w:rsidRPr="00000000" w14:paraId="00000137">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FRBM Act: Fiscal Deficit &amp; Fiscal Responsibility &amp; Budget Management Act - PMF IAS, accessed February 17, 2026, </w:t>
      </w:r>
      <w:hyperlink r:id="rId84">
        <w:r w:rsidDel="00000000" w:rsidR="00000000" w:rsidRPr="00000000">
          <w:rPr>
            <w:rFonts w:ascii="Google Sans" w:cs="Google Sans" w:eastAsia="Google Sans" w:hAnsi="Google Sans"/>
            <w:color w:val="0000ee"/>
            <w:sz w:val="24"/>
            <w:szCs w:val="24"/>
            <w:u w:val="single"/>
            <w:rtl w:val="0"/>
          </w:rPr>
          <w:t xml:space="preserve">https://www.pmfias.com/frbm-act/</w:t>
        </w:r>
      </w:hyperlink>
      <w:r w:rsidDel="00000000" w:rsidR="00000000" w:rsidRPr="00000000">
        <w:rPr>
          <w:rtl w:val="0"/>
        </w:rPr>
      </w:r>
    </w:p>
    <w:p w:rsidR="00000000" w:rsidDel="00000000" w:rsidP="00000000" w:rsidRDefault="00000000" w:rsidRPr="00000000" w14:paraId="00000138">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Analysis of projections made in Fiscal Policy Statements Chapter - CAG, accessed February 17, 2026, </w:t>
      </w:r>
      <w:hyperlink r:id="rId85">
        <w:r w:rsidDel="00000000" w:rsidR="00000000" w:rsidRPr="00000000">
          <w:rPr>
            <w:rFonts w:ascii="Google Sans" w:cs="Google Sans" w:eastAsia="Google Sans" w:hAnsi="Google Sans"/>
            <w:color w:val="0000ee"/>
            <w:sz w:val="24"/>
            <w:szCs w:val="24"/>
            <w:u w:val="single"/>
            <w:rtl w:val="0"/>
          </w:rPr>
          <w:t xml:space="preserve">https://cag.gov.in/uploads/download_audit_report/2021/08_Chapter%204-061a4c47f898a56.11553001.pdf</w:t>
        </w:r>
      </w:hyperlink>
      <w:r w:rsidDel="00000000" w:rsidR="00000000" w:rsidRPr="00000000">
        <w:rPr>
          <w:rtl w:val="0"/>
        </w:rPr>
      </w:r>
    </w:p>
    <w:p w:rsidR="00000000" w:rsidDel="00000000" w:rsidP="00000000" w:rsidRDefault="00000000" w:rsidRPr="00000000" w14:paraId="00000139">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Fiscal Responsibility And Budget Management (FRBM) Act | Current Affairs | Vision IAS, accessed February 17, 2026, </w:t>
      </w:r>
      <w:hyperlink r:id="rId86">
        <w:r w:rsidDel="00000000" w:rsidR="00000000" w:rsidRPr="00000000">
          <w:rPr>
            <w:rFonts w:ascii="Google Sans" w:cs="Google Sans" w:eastAsia="Google Sans" w:hAnsi="Google Sans"/>
            <w:color w:val="0000ee"/>
            <w:sz w:val="24"/>
            <w:szCs w:val="24"/>
            <w:u w:val="single"/>
            <w:rtl w:val="0"/>
          </w:rPr>
          <w:t xml:space="preserve">https://visionias.in/current-affairs/monthly-magazine/2025-09-04/economy/fiscal-responsibility-and-budget-management-frbm-act</w:t>
        </w:r>
      </w:hyperlink>
      <w:r w:rsidDel="00000000" w:rsidR="00000000" w:rsidRPr="00000000">
        <w:rPr>
          <w:rtl w:val="0"/>
        </w:rPr>
      </w:r>
    </w:p>
    <w:p w:rsidR="00000000" w:rsidDel="00000000" w:rsidP="00000000" w:rsidRDefault="00000000" w:rsidRPr="00000000" w14:paraId="0000013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Budget 2026 explained: 10 key takeaways from Finance Minister Nirmala Sitharaman's budget speech, accessed February 17, 2026, </w:t>
      </w:r>
      <w:hyperlink r:id="rId87">
        <w:r w:rsidDel="00000000" w:rsidR="00000000" w:rsidRPr="00000000">
          <w:rPr>
            <w:rFonts w:ascii="Google Sans" w:cs="Google Sans" w:eastAsia="Google Sans" w:hAnsi="Google Sans"/>
            <w:color w:val="0000ee"/>
            <w:sz w:val="24"/>
            <w:szCs w:val="24"/>
            <w:u w:val="single"/>
            <w:rtl w:val="0"/>
          </w:rPr>
          <w:t xml:space="preserve">https://www.livemint.com/market/stock-market-news/budget-2026-explained-10-key-takeaways-from-finance-minister-nirmala-sitharamans-budget-speech-11769922746280.html</w:t>
        </w:r>
      </w:hyperlink>
      <w:r w:rsidDel="00000000" w:rsidR="00000000" w:rsidRPr="00000000">
        <w:rPr>
          <w:rtl w:val="0"/>
        </w:rPr>
      </w:r>
    </w:p>
    <w:p w:rsidR="00000000" w:rsidDel="00000000" w:rsidP="00000000" w:rsidRDefault="00000000" w:rsidRPr="00000000" w14:paraId="0000013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2026-27 Analysis - PRS Legislative Research, accessed February 17, 2026, </w:t>
      </w:r>
      <w:hyperlink r:id="rId88">
        <w:r w:rsidDel="00000000" w:rsidR="00000000" w:rsidRPr="00000000">
          <w:rPr>
            <w:rFonts w:ascii="Google Sans" w:cs="Google Sans" w:eastAsia="Google Sans" w:hAnsi="Google Sans"/>
            <w:color w:val="0000ee"/>
            <w:sz w:val="24"/>
            <w:szCs w:val="24"/>
            <w:u w:val="single"/>
            <w:rtl w:val="0"/>
          </w:rPr>
          <w:t xml:space="preserve">https://prsindia.org/files/budget/budget_parliament/2026/Union_Budget_Analysis-2026-27.pdf</w:t>
        </w:r>
      </w:hyperlink>
      <w:r w:rsidDel="00000000" w:rsidR="00000000" w:rsidRPr="00000000">
        <w:rPr>
          <w:rtl w:val="0"/>
        </w:rPr>
      </w:r>
    </w:p>
    <w:p w:rsidR="00000000" w:rsidDel="00000000" w:rsidP="00000000" w:rsidRDefault="00000000" w:rsidRPr="00000000" w14:paraId="0000013C">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of union budget 2026-27 - PIB, accessed February 17, 2026, </w:t>
      </w:r>
      <w:hyperlink r:id="rId89">
        <w:r w:rsidDel="00000000" w:rsidR="00000000" w:rsidRPr="00000000">
          <w:rPr>
            <w:rFonts w:ascii="Google Sans" w:cs="Google Sans" w:eastAsia="Google Sans" w:hAnsi="Google Sans"/>
            <w:color w:val="0000ee"/>
            <w:sz w:val="24"/>
            <w:szCs w:val="24"/>
            <w:u w:val="single"/>
            <w:rtl w:val="0"/>
          </w:rPr>
          <w:t xml:space="preserve">https://www.pib.gov.in/PressReleasePage.aspx?PRID=2221455®=3&amp;lang=1</w:t>
        </w:r>
      </w:hyperlink>
      <w:r w:rsidDel="00000000" w:rsidR="00000000" w:rsidRPr="00000000">
        <w:rPr>
          <w:rtl w:val="0"/>
        </w:rPr>
      </w:r>
    </w:p>
    <w:p w:rsidR="00000000" w:rsidDel="00000000" w:rsidP="00000000" w:rsidRDefault="00000000" w:rsidRPr="00000000" w14:paraId="0000013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16th Finance Commission (2026–31): Rewriting India's Fiscal Federalism - Vaids ICS, accessed February 17, 2026, </w:t>
      </w:r>
      <w:hyperlink r:id="rId90">
        <w:r w:rsidDel="00000000" w:rsidR="00000000" w:rsidRPr="00000000">
          <w:rPr>
            <w:rFonts w:ascii="Google Sans" w:cs="Google Sans" w:eastAsia="Google Sans" w:hAnsi="Google Sans"/>
            <w:color w:val="0000ee"/>
            <w:sz w:val="24"/>
            <w:szCs w:val="24"/>
            <w:u w:val="single"/>
            <w:rtl w:val="0"/>
          </w:rPr>
          <w:t xml:space="preserve">https://vaidsics.com/blog/the-16th-finance-commission-202631-rewriting-indias-fiscal-federalism</w:t>
        </w:r>
      </w:hyperlink>
      <w:r w:rsidDel="00000000" w:rsidR="00000000" w:rsidRPr="00000000">
        <w:rPr>
          <w:rtl w:val="0"/>
        </w:rPr>
      </w:r>
    </w:p>
    <w:p w:rsidR="00000000" w:rsidDel="00000000" w:rsidP="00000000" w:rsidRDefault="00000000" w:rsidRPr="00000000" w14:paraId="0000013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16th Finance Commission Report - Drishti IAS, accessed February 17, 2026, </w:t>
      </w:r>
      <w:hyperlink r:id="rId91">
        <w:r w:rsidDel="00000000" w:rsidR="00000000" w:rsidRPr="00000000">
          <w:rPr>
            <w:rFonts w:ascii="Google Sans" w:cs="Google Sans" w:eastAsia="Google Sans" w:hAnsi="Google Sans"/>
            <w:color w:val="0000ee"/>
            <w:sz w:val="24"/>
            <w:szCs w:val="24"/>
            <w:u w:val="single"/>
            <w:rtl w:val="0"/>
          </w:rPr>
          <w:t xml:space="preserve">https://www.drishtiias.com/daily-updates/daily-news-analysis/16th-finance-commission-report</w:t>
        </w:r>
      </w:hyperlink>
      <w:r w:rsidDel="00000000" w:rsidR="00000000" w:rsidRPr="00000000">
        <w:rPr>
          <w:rtl w:val="0"/>
        </w:rPr>
      </w:r>
    </w:p>
    <w:p w:rsidR="00000000" w:rsidDel="00000000" w:rsidP="00000000" w:rsidRDefault="00000000" w:rsidRPr="00000000" w14:paraId="0000013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Summary of the 16th Finance Commission - INSIGHTS IAS, accessed February 17, 2026, </w:t>
      </w:r>
      <w:hyperlink r:id="rId92">
        <w:r w:rsidDel="00000000" w:rsidR="00000000" w:rsidRPr="00000000">
          <w:rPr>
            <w:rFonts w:ascii="Google Sans" w:cs="Google Sans" w:eastAsia="Google Sans" w:hAnsi="Google Sans"/>
            <w:color w:val="0000ee"/>
            <w:sz w:val="24"/>
            <w:szCs w:val="24"/>
            <w:u w:val="single"/>
            <w:rtl w:val="0"/>
          </w:rPr>
          <w:t xml:space="preserve">https://www.insightsonindia.com/2026/02/02/summary-of-the-16th-finance-commission/</w:t>
        </w:r>
      </w:hyperlink>
      <w:r w:rsidDel="00000000" w:rsidR="00000000" w:rsidRPr="00000000">
        <w:rPr>
          <w:rtl w:val="0"/>
        </w:rPr>
      </w:r>
    </w:p>
    <w:p w:rsidR="00000000" w:rsidDel="00000000" w:rsidP="00000000" w:rsidRDefault="00000000" w:rsidRPr="00000000" w14:paraId="0000014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Sixteenth Finance Commission – The Gain to The states and Their Demands - Shankar IAS Parliament, accessed February 17, 2026, </w:t>
      </w:r>
      <w:hyperlink r:id="rId93">
        <w:r w:rsidDel="00000000" w:rsidR="00000000" w:rsidRPr="00000000">
          <w:rPr>
            <w:rFonts w:ascii="Google Sans" w:cs="Google Sans" w:eastAsia="Google Sans" w:hAnsi="Google Sans"/>
            <w:color w:val="0000ee"/>
            <w:sz w:val="24"/>
            <w:szCs w:val="24"/>
            <w:u w:val="single"/>
            <w:rtl w:val="0"/>
          </w:rPr>
          <w:t xml:space="preserve">https://www.shankariasparliament.com/current-affairs/mains-analysis/sixteenth-finance-commission-the-gain-to-the-states-and-their-demands</w:t>
        </w:r>
      </w:hyperlink>
      <w:r w:rsidDel="00000000" w:rsidR="00000000" w:rsidRPr="00000000">
        <w:rPr>
          <w:rtl w:val="0"/>
        </w:rPr>
      </w:r>
    </w:p>
    <w:p w:rsidR="00000000" w:rsidDel="00000000" w:rsidP="00000000" w:rsidRDefault="00000000" w:rsidRPr="00000000" w14:paraId="0000014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16th Finance Commission: The Equity-Efficiency Balance - Ajmal IAS Academy, accessed February 17, 2026, </w:t>
      </w:r>
      <w:hyperlink r:id="rId94">
        <w:r w:rsidDel="00000000" w:rsidR="00000000" w:rsidRPr="00000000">
          <w:rPr>
            <w:rFonts w:ascii="Google Sans" w:cs="Google Sans" w:eastAsia="Google Sans" w:hAnsi="Google Sans"/>
            <w:color w:val="0000ee"/>
            <w:sz w:val="24"/>
            <w:szCs w:val="24"/>
            <w:u w:val="single"/>
            <w:rtl w:val="0"/>
          </w:rPr>
          <w:t xml:space="preserve">https://ajmaliasacademy.in/16th-finance-commission-the-equity-efficiency-balance/</w:t>
        </w:r>
      </w:hyperlink>
      <w:r w:rsidDel="00000000" w:rsidR="00000000" w:rsidRPr="00000000">
        <w:rPr>
          <w:rtl w:val="0"/>
        </w:rPr>
      </w:r>
    </w:p>
    <w:p w:rsidR="00000000" w:rsidDel="00000000" w:rsidP="00000000" w:rsidRDefault="00000000" w:rsidRPr="00000000" w14:paraId="00000142">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accessed February 17, 2026, </w:t>
      </w:r>
      <w:hyperlink r:id="rId95">
        <w:r w:rsidDel="00000000" w:rsidR="00000000" w:rsidRPr="00000000">
          <w:rPr>
            <w:rFonts w:ascii="Google Sans" w:cs="Google Sans" w:eastAsia="Google Sans" w:hAnsi="Google Sans"/>
            <w:color w:val="0000ee"/>
            <w:sz w:val="24"/>
            <w:szCs w:val="24"/>
            <w:u w:val="single"/>
            <w:rtl w:val="0"/>
          </w:rPr>
          <w:t xml:space="preserve">https://www.icra.in/Research/ViewResearchReport/6763#:~:text=Further%2C%20the%2016th%20FC%20replaced,economic%20management%2C%20in%20ICRA's%20view.</w:t>
        </w:r>
      </w:hyperlink>
      <w:r w:rsidDel="00000000" w:rsidR="00000000" w:rsidRPr="00000000">
        <w:rPr>
          <w:rtl w:val="0"/>
        </w:rPr>
      </w:r>
    </w:p>
    <w:p w:rsidR="00000000" w:rsidDel="00000000" w:rsidP="00000000" w:rsidRDefault="00000000" w:rsidRPr="00000000" w14:paraId="00000143">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16th Finance Commission: New devolution formula, tighter grants | Policy Circle, accessed February 17, 2026, </w:t>
      </w:r>
      <w:hyperlink r:id="rId96">
        <w:r w:rsidDel="00000000" w:rsidR="00000000" w:rsidRPr="00000000">
          <w:rPr>
            <w:rFonts w:ascii="Google Sans" w:cs="Google Sans" w:eastAsia="Google Sans" w:hAnsi="Google Sans"/>
            <w:color w:val="0000ee"/>
            <w:sz w:val="24"/>
            <w:szCs w:val="24"/>
            <w:u w:val="single"/>
            <w:rtl w:val="0"/>
          </w:rPr>
          <w:t xml:space="preserve">https://www.policycircle.org/policy/16th-finance-commission-tax-devolution/</w:t>
        </w:r>
      </w:hyperlink>
      <w:r w:rsidDel="00000000" w:rsidR="00000000" w:rsidRPr="00000000">
        <w:rPr>
          <w:rtl w:val="0"/>
        </w:rPr>
      </w:r>
    </w:p>
    <w:p w:rsidR="00000000" w:rsidDel="00000000" w:rsidP="00000000" w:rsidRDefault="00000000" w:rsidRPr="00000000" w14:paraId="00000144">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 230A: Public Economics Lecture: Deadweight Loss &amp; Optimal Commodity Taxation 1, accessed February 17, 2026, </w:t>
      </w:r>
      <w:hyperlink r:id="rId97">
        <w:r w:rsidDel="00000000" w:rsidR="00000000" w:rsidRPr="00000000">
          <w:rPr>
            <w:rFonts w:ascii="Google Sans" w:cs="Google Sans" w:eastAsia="Google Sans" w:hAnsi="Google Sans"/>
            <w:color w:val="0000ee"/>
            <w:sz w:val="24"/>
            <w:szCs w:val="24"/>
            <w:u w:val="single"/>
            <w:rtl w:val="0"/>
          </w:rPr>
          <w:t xml:space="preserve">https://gspp.berkeley.edu/assets/uploads/courses/notes/Lec2-DWL-Optimal-Tax.pdf</w:t>
        </w:r>
      </w:hyperlink>
      <w:r w:rsidDel="00000000" w:rsidR="00000000" w:rsidRPr="00000000">
        <w:rPr>
          <w:rtl w:val="0"/>
        </w:rPr>
      </w:r>
    </w:p>
    <w:p w:rsidR="00000000" w:rsidDel="00000000" w:rsidP="00000000" w:rsidRDefault="00000000" w:rsidRPr="00000000" w14:paraId="00000145">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3.4 Efficiency and Equity in Taxation - Public Economics - Fiveable, accessed February 17, 2026, </w:t>
      </w:r>
      <w:hyperlink r:id="rId98">
        <w:r w:rsidDel="00000000" w:rsidR="00000000" w:rsidRPr="00000000">
          <w:rPr>
            <w:rFonts w:ascii="Google Sans" w:cs="Google Sans" w:eastAsia="Google Sans" w:hAnsi="Google Sans"/>
            <w:color w:val="0000ee"/>
            <w:sz w:val="24"/>
            <w:szCs w:val="24"/>
            <w:u w:val="single"/>
            <w:rtl w:val="0"/>
          </w:rPr>
          <w:t xml:space="preserve">https://fiveable.me/public-economics/unit-3/efficiency-equity-taxation/study-guide/8QrIak4NYQszVnwu</w:t>
        </w:r>
      </w:hyperlink>
      <w:r w:rsidDel="00000000" w:rsidR="00000000" w:rsidRPr="00000000">
        <w:rPr>
          <w:rtl w:val="0"/>
        </w:rPr>
      </w:r>
    </w:p>
    <w:p w:rsidR="00000000" w:rsidDel="00000000" w:rsidP="00000000" w:rsidRDefault="00000000" w:rsidRPr="00000000" w14:paraId="00000146">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Lecture 3: Tax Incidence and Efficiency Costs of Taxation - Stefanie Stantcheva, accessed February 17, 2026, </w:t>
      </w:r>
      <w:hyperlink r:id="rId99">
        <w:r w:rsidDel="00000000" w:rsidR="00000000" w:rsidRPr="00000000">
          <w:rPr>
            <w:rFonts w:ascii="Google Sans" w:cs="Google Sans" w:eastAsia="Google Sans" w:hAnsi="Google Sans"/>
            <w:color w:val="0000ee"/>
            <w:sz w:val="24"/>
            <w:szCs w:val="24"/>
            <w:u w:val="single"/>
            <w:rtl w:val="0"/>
          </w:rPr>
          <w:t xml:space="preserve">https://stantcheva.scholars.harvard.edu/file_url/422</w:t>
        </w:r>
      </w:hyperlink>
      <w:r w:rsidDel="00000000" w:rsidR="00000000" w:rsidRPr="00000000">
        <w:rPr>
          <w:rtl w:val="0"/>
        </w:rPr>
      </w:r>
    </w:p>
    <w:p w:rsidR="00000000" w:rsidDel="00000000" w:rsidP="00000000" w:rsidRDefault="00000000" w:rsidRPr="00000000" w14:paraId="00000147">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Optimal taxation | Urban.org, accessed February 17, 2026, </w:t>
      </w:r>
      <w:hyperlink r:id="rId100">
        <w:r w:rsidDel="00000000" w:rsidR="00000000" w:rsidRPr="00000000">
          <w:rPr>
            <w:rFonts w:ascii="Google Sans" w:cs="Google Sans" w:eastAsia="Google Sans" w:hAnsi="Google Sans"/>
            <w:color w:val="0000ee"/>
            <w:sz w:val="24"/>
            <w:szCs w:val="24"/>
            <w:u w:val="single"/>
            <w:rtl w:val="0"/>
          </w:rPr>
          <w:t xml:space="preserve">https://www.urban.org/sites/default/files/publication/69521/1000539-optimal-taxation.pdf</w:t>
        </w:r>
      </w:hyperlink>
      <w:r w:rsidDel="00000000" w:rsidR="00000000" w:rsidRPr="00000000">
        <w:rPr>
          <w:rtl w:val="0"/>
        </w:rPr>
      </w:r>
    </w:p>
    <w:p w:rsidR="00000000" w:rsidDel="00000000" w:rsidP="00000000" w:rsidRDefault="00000000" w:rsidRPr="00000000" w14:paraId="00000148">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4. Optimal commodity taxation - Laurent Simula, accessed February 17, 2026, </w:t>
      </w:r>
      <w:hyperlink r:id="rId101">
        <w:r w:rsidDel="00000000" w:rsidR="00000000" w:rsidRPr="00000000">
          <w:rPr>
            <w:rFonts w:ascii="Google Sans" w:cs="Google Sans" w:eastAsia="Google Sans" w:hAnsi="Google Sans"/>
            <w:color w:val="0000ee"/>
            <w:sz w:val="24"/>
            <w:szCs w:val="24"/>
            <w:u w:val="single"/>
            <w:rtl w:val="0"/>
          </w:rPr>
          <w:t xml:space="preserve">https://laurentsimula.wordpress.com/wp-content/uploads/2017/12/ens-chapter-4-public-economics.pdf</w:t>
        </w:r>
      </w:hyperlink>
      <w:r w:rsidDel="00000000" w:rsidR="00000000" w:rsidRPr="00000000">
        <w:rPr>
          <w:rtl w:val="0"/>
        </w:rPr>
      </w:r>
    </w:p>
    <w:p w:rsidR="00000000" w:rsidDel="00000000" w:rsidP="00000000" w:rsidRDefault="00000000" w:rsidRPr="00000000" w14:paraId="00000149">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Understanding Taxes - Theme 4: What Is Taxed and Why - Lesson 3: Income Tax Facts - IRS, accessed February 17, 2026, </w:t>
      </w:r>
      <w:hyperlink r:id="rId102">
        <w:r w:rsidDel="00000000" w:rsidR="00000000" w:rsidRPr="00000000">
          <w:rPr>
            <w:rFonts w:ascii="Google Sans" w:cs="Google Sans" w:eastAsia="Google Sans" w:hAnsi="Google Sans"/>
            <w:color w:val="0000ee"/>
            <w:sz w:val="24"/>
            <w:szCs w:val="24"/>
            <w:u w:val="single"/>
            <w:rtl w:val="0"/>
          </w:rPr>
          <w:t xml:space="preserve">https://apps.irs.gov/app/understandingTaxes/student/whys_thm04_les03.jsp</w:t>
        </w:r>
      </w:hyperlink>
      <w:r w:rsidDel="00000000" w:rsidR="00000000" w:rsidRPr="00000000">
        <w:rPr>
          <w:rtl w:val="0"/>
        </w:rPr>
      </w:r>
    </w:p>
    <w:p w:rsidR="00000000" w:rsidDel="00000000" w:rsidP="00000000" w:rsidRDefault="00000000" w:rsidRPr="00000000" w14:paraId="0000014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Horizontal Equity - Urban Institute, accessed February 17, 2026, </w:t>
      </w:r>
      <w:hyperlink r:id="rId103">
        <w:r w:rsidDel="00000000" w:rsidR="00000000" w:rsidRPr="00000000">
          <w:rPr>
            <w:rFonts w:ascii="Google Sans" w:cs="Google Sans" w:eastAsia="Google Sans" w:hAnsi="Google Sans"/>
            <w:color w:val="0000ee"/>
            <w:sz w:val="24"/>
            <w:szCs w:val="24"/>
            <w:u w:val="single"/>
            <w:rtl w:val="0"/>
          </w:rPr>
          <w:t xml:space="preserve">https://www.urban.org/sites/default/files/publication/71101/1000533-Horizontal-Equity.PDF</w:t>
        </w:r>
      </w:hyperlink>
      <w:r w:rsidDel="00000000" w:rsidR="00000000" w:rsidRPr="00000000">
        <w:rPr>
          <w:rtl w:val="0"/>
        </w:rPr>
      </w:r>
    </w:p>
    <w:p w:rsidR="00000000" w:rsidDel="00000000" w:rsidP="00000000" w:rsidRDefault="00000000" w:rsidRPr="00000000" w14:paraId="0000014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Equity (economics) - Wikipedia, accessed February 17, 2026, </w:t>
      </w:r>
      <w:hyperlink r:id="rId104">
        <w:r w:rsidDel="00000000" w:rsidR="00000000" w:rsidRPr="00000000">
          <w:rPr>
            <w:rFonts w:ascii="Google Sans" w:cs="Google Sans" w:eastAsia="Google Sans" w:hAnsi="Google Sans"/>
            <w:color w:val="0000ee"/>
            <w:sz w:val="24"/>
            <w:szCs w:val="24"/>
            <w:u w:val="single"/>
            <w:rtl w:val="0"/>
          </w:rPr>
          <w:t xml:space="preserve">https://en.wikipedia.org/wiki/Equity_(economics)</w:t>
        </w:r>
      </w:hyperlink>
      <w:r w:rsidDel="00000000" w:rsidR="00000000" w:rsidRPr="00000000">
        <w:rPr>
          <w:rtl w:val="0"/>
        </w:rPr>
      </w:r>
    </w:p>
    <w:p w:rsidR="00000000" w:rsidDel="00000000" w:rsidP="00000000" w:rsidRDefault="00000000" w:rsidRPr="00000000" w14:paraId="0000014C">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summary-hfst-6-international-trade-theory-xsGY.docx, accessed February 17, 2026, </w:t>
      </w:r>
      <w:hyperlink r:id="rId105">
        <w:r w:rsidDel="00000000" w:rsidR="00000000" w:rsidRPr="00000000">
          <w:rPr>
            <w:rFonts w:ascii="Google Sans" w:cs="Google Sans" w:eastAsia="Google Sans" w:hAnsi="Google Sans"/>
            <w:color w:val="0000ee"/>
            <w:sz w:val="24"/>
            <w:szCs w:val="24"/>
            <w:u w:val="single"/>
            <w:rtl w:val="0"/>
          </w:rPr>
          <w:t xml:space="preserve">https://www.cag.edu.tr/uploads/site/lecturer-files/summary-hfst-6-international-trade-theory-xsGY.docx</w:t>
        </w:r>
      </w:hyperlink>
      <w:r w:rsidDel="00000000" w:rsidR="00000000" w:rsidRPr="00000000">
        <w:rPr>
          <w:rtl w:val="0"/>
        </w:rPr>
      </w:r>
    </w:p>
    <w:p w:rsidR="00000000" w:rsidDel="00000000" w:rsidP="00000000" w:rsidRDefault="00000000" w:rsidRPr="00000000" w14:paraId="0000014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Old and New Theories of International Trade - Plutus IAS, accessed February 17, 2026, </w:t>
      </w:r>
      <w:hyperlink r:id="rId106">
        <w:r w:rsidDel="00000000" w:rsidR="00000000" w:rsidRPr="00000000">
          <w:rPr>
            <w:rFonts w:ascii="Google Sans" w:cs="Google Sans" w:eastAsia="Google Sans" w:hAnsi="Google Sans"/>
            <w:color w:val="0000ee"/>
            <w:sz w:val="24"/>
            <w:szCs w:val="24"/>
            <w:u w:val="single"/>
            <w:rtl w:val="0"/>
          </w:rPr>
          <w:t xml:space="preserve">https://plutusias.com/old-and-new-theories-of-international-trade/</w:t>
        </w:r>
      </w:hyperlink>
      <w:r w:rsidDel="00000000" w:rsidR="00000000" w:rsidRPr="00000000">
        <w:rPr>
          <w:rtl w:val="0"/>
        </w:rPr>
      </w:r>
    </w:p>
    <w:p w:rsidR="00000000" w:rsidDel="00000000" w:rsidP="00000000" w:rsidRDefault="00000000" w:rsidRPr="00000000" w14:paraId="0000014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International Economics - III. Trade Theory: Smith and Ricardo, accessed February 17, 2026, </w:t>
      </w:r>
      <w:hyperlink r:id="rId107">
        <w:r w:rsidDel="00000000" w:rsidR="00000000" w:rsidRPr="00000000">
          <w:rPr>
            <w:rFonts w:ascii="Google Sans" w:cs="Google Sans" w:eastAsia="Google Sans" w:hAnsi="Google Sans"/>
            <w:color w:val="0000ee"/>
            <w:sz w:val="24"/>
            <w:szCs w:val="24"/>
            <w:u w:val="single"/>
            <w:rtl w:val="0"/>
          </w:rPr>
          <w:t xml:space="preserve">https://www.wifa.uni-leipzig.de/fileadmin/Fakult%C3%A4t_Wifa/Institut_f%C3%BCr_Wirtschaftspolitik/Studium/Sommer/23/International_Economics/3._Trade_Theory.pdf</w:t>
        </w:r>
      </w:hyperlink>
      <w:r w:rsidDel="00000000" w:rsidR="00000000" w:rsidRPr="00000000">
        <w:rPr>
          <w:rtl w:val="0"/>
        </w:rPr>
      </w:r>
    </w:p>
    <w:p w:rsidR="00000000" w:rsidDel="00000000" w:rsidP="00000000" w:rsidRDefault="00000000" w:rsidRPr="00000000" w14:paraId="0000014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Modern theory of international trade - iPleaders, accessed February 17, 2026, </w:t>
      </w:r>
      <w:hyperlink r:id="rId108">
        <w:r w:rsidDel="00000000" w:rsidR="00000000" w:rsidRPr="00000000">
          <w:rPr>
            <w:rFonts w:ascii="Google Sans" w:cs="Google Sans" w:eastAsia="Google Sans" w:hAnsi="Google Sans"/>
            <w:color w:val="0000ee"/>
            <w:sz w:val="24"/>
            <w:szCs w:val="24"/>
            <w:u w:val="single"/>
            <w:rtl w:val="0"/>
          </w:rPr>
          <w:t xml:space="preserve">https://blog.ipleaders.in/modern-theory-of-international-trade/</w:t>
        </w:r>
      </w:hyperlink>
      <w:r w:rsidDel="00000000" w:rsidR="00000000" w:rsidRPr="00000000">
        <w:rPr>
          <w:rtl w:val="0"/>
        </w:rPr>
      </w:r>
    </w:p>
    <w:p w:rsidR="00000000" w:rsidDel="00000000" w:rsidP="00000000" w:rsidRDefault="00000000" w:rsidRPr="00000000" w14:paraId="0000015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Ricardian vs. Heckscher-Ohlin Trade Models | CFA Level 1 - AnalystPrep, accessed February 17, 2026, </w:t>
      </w:r>
      <w:hyperlink r:id="rId109">
        <w:r w:rsidDel="00000000" w:rsidR="00000000" w:rsidRPr="00000000">
          <w:rPr>
            <w:rFonts w:ascii="Google Sans" w:cs="Google Sans" w:eastAsia="Google Sans" w:hAnsi="Google Sans"/>
            <w:color w:val="0000ee"/>
            <w:sz w:val="24"/>
            <w:szCs w:val="24"/>
            <w:u w:val="single"/>
            <w:rtl w:val="0"/>
          </w:rPr>
          <w:t xml:space="preserve">https://analystprep.com/cfa-level-1-exam/economics/ricardian-heckscher-ohlin-models-trade/</w:t>
        </w:r>
      </w:hyperlink>
      <w:r w:rsidDel="00000000" w:rsidR="00000000" w:rsidRPr="00000000">
        <w:rPr>
          <w:rtl w:val="0"/>
        </w:rPr>
      </w:r>
    </w:p>
    <w:p w:rsidR="00000000" w:rsidDel="00000000" w:rsidP="00000000" w:rsidRDefault="00000000" w:rsidRPr="00000000" w14:paraId="0000015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2: The Ricardian Theory of Comparative Advantage, accessed February 17, 2026, </w:t>
      </w:r>
      <w:hyperlink r:id="rId110">
        <w:r w:rsidDel="00000000" w:rsidR="00000000" w:rsidRPr="00000000">
          <w:rPr>
            <w:rFonts w:ascii="Google Sans" w:cs="Google Sans" w:eastAsia="Google Sans" w:hAnsi="Google Sans"/>
            <w:color w:val="0000ee"/>
            <w:sz w:val="24"/>
            <w:szCs w:val="24"/>
            <w:u w:val="single"/>
            <w:rtl w:val="0"/>
          </w:rPr>
          <w:t xml:space="preserve">https://saylordotorg.github.io/text_international-trade-theory-and-policy/s05-the-ricardian-theory-of-compar.html</w:t>
        </w:r>
      </w:hyperlink>
      <w:r w:rsidDel="00000000" w:rsidR="00000000" w:rsidRPr="00000000">
        <w:rPr>
          <w:rtl w:val="0"/>
        </w:rPr>
      </w:r>
    </w:p>
    <w:p w:rsidR="00000000" w:rsidDel="00000000" w:rsidP="00000000" w:rsidRDefault="00000000" w:rsidRPr="00000000" w14:paraId="00000152">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Offer Curves | Economics | PPTX - Slideshare, accessed February 17, 2026, </w:t>
      </w:r>
      <w:hyperlink r:id="rId111">
        <w:r w:rsidDel="00000000" w:rsidR="00000000" w:rsidRPr="00000000">
          <w:rPr>
            <w:rFonts w:ascii="Google Sans" w:cs="Google Sans" w:eastAsia="Google Sans" w:hAnsi="Google Sans"/>
            <w:color w:val="0000ee"/>
            <w:sz w:val="24"/>
            <w:szCs w:val="24"/>
            <w:u w:val="single"/>
            <w:rtl w:val="0"/>
          </w:rPr>
          <w:t xml:space="preserve">https://www.slideshare.net/slideshow/offer-curves-economics/77105111</w:t>
        </w:r>
      </w:hyperlink>
      <w:r w:rsidDel="00000000" w:rsidR="00000000" w:rsidRPr="00000000">
        <w:rPr>
          <w:rtl w:val="0"/>
        </w:rPr>
      </w:r>
    </w:p>
    <w:p w:rsidR="00000000" w:rsidDel="00000000" w:rsidP="00000000" w:rsidRDefault="00000000" w:rsidRPr="00000000" w14:paraId="00000153">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History and Definitions of Offer Curve | PDF | Economics | Demand - Scribd, accessed February 17, 2026, </w:t>
      </w:r>
      <w:hyperlink r:id="rId112">
        <w:r w:rsidDel="00000000" w:rsidR="00000000" w:rsidRPr="00000000">
          <w:rPr>
            <w:rFonts w:ascii="Google Sans" w:cs="Google Sans" w:eastAsia="Google Sans" w:hAnsi="Google Sans"/>
            <w:color w:val="0000ee"/>
            <w:sz w:val="24"/>
            <w:szCs w:val="24"/>
            <w:u w:val="single"/>
            <w:rtl w:val="0"/>
          </w:rPr>
          <w:t xml:space="preserve">https://www.scribd.com/document/893951760/History-and-Definitions-of-Offer-Curve</w:t>
        </w:r>
      </w:hyperlink>
      <w:r w:rsidDel="00000000" w:rsidR="00000000" w:rsidRPr="00000000">
        <w:rPr>
          <w:rtl w:val="0"/>
        </w:rPr>
      </w:r>
    </w:p>
    <w:p w:rsidR="00000000" w:rsidDel="00000000" w:rsidP="00000000" w:rsidRDefault="00000000" w:rsidRPr="00000000" w14:paraId="00000154">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Heckscher–Ohlin model - Wikipedia, accessed February 17, 2026, </w:t>
      </w:r>
      <w:hyperlink r:id="rId113">
        <w:r w:rsidDel="00000000" w:rsidR="00000000" w:rsidRPr="00000000">
          <w:rPr>
            <w:rFonts w:ascii="Google Sans" w:cs="Google Sans" w:eastAsia="Google Sans" w:hAnsi="Google Sans"/>
            <w:color w:val="0000ee"/>
            <w:sz w:val="24"/>
            <w:szCs w:val="24"/>
            <w:u w:val="single"/>
            <w:rtl w:val="0"/>
          </w:rPr>
          <w:t xml:space="preserve">https://en.wikipedia.org/wiki/Heckscher%E2%80%93Ohlin_model</w:t>
        </w:r>
      </w:hyperlink>
      <w:r w:rsidDel="00000000" w:rsidR="00000000" w:rsidRPr="00000000">
        <w:rPr>
          <w:rtl w:val="0"/>
        </w:rPr>
      </w:r>
    </w:p>
    <w:p w:rsidR="00000000" w:rsidDel="00000000" w:rsidP="00000000" w:rsidRDefault="00000000" w:rsidRPr="00000000" w14:paraId="00000155">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5: The Heckscher-Ohlin (Factor Proportions) Model, accessed February 17, 2026, </w:t>
      </w:r>
      <w:hyperlink r:id="rId114">
        <w:r w:rsidDel="00000000" w:rsidR="00000000" w:rsidRPr="00000000">
          <w:rPr>
            <w:rFonts w:ascii="Google Sans" w:cs="Google Sans" w:eastAsia="Google Sans" w:hAnsi="Google Sans"/>
            <w:color w:val="0000ee"/>
            <w:sz w:val="24"/>
            <w:szCs w:val="24"/>
            <w:u w:val="single"/>
            <w:rtl w:val="0"/>
          </w:rPr>
          <w:t xml:space="preserve">https://saylordotorg.github.io/text_international-trade-theory-and-policy/s08-the-heckscher-ohlin-factor-pro.html</w:t>
        </w:r>
      </w:hyperlink>
      <w:r w:rsidDel="00000000" w:rsidR="00000000" w:rsidRPr="00000000">
        <w:rPr>
          <w:rtl w:val="0"/>
        </w:rPr>
      </w:r>
    </w:p>
    <w:p w:rsidR="00000000" w:rsidDel="00000000" w:rsidP="00000000" w:rsidRDefault="00000000" w:rsidRPr="00000000" w14:paraId="00000156">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Stolper–Samuelson theorem - Wikipedia, accessed February 17, 2026, </w:t>
      </w:r>
      <w:hyperlink r:id="rId115">
        <w:r w:rsidDel="00000000" w:rsidR="00000000" w:rsidRPr="00000000">
          <w:rPr>
            <w:rFonts w:ascii="Google Sans" w:cs="Google Sans" w:eastAsia="Google Sans" w:hAnsi="Google Sans"/>
            <w:color w:val="0000ee"/>
            <w:sz w:val="24"/>
            <w:szCs w:val="24"/>
            <w:u w:val="single"/>
            <w:rtl w:val="0"/>
          </w:rPr>
          <w:t xml:space="preserve">https://en.wikipedia.org/wiki/Stolper%E2%80%93Samuelson_theorem</w:t>
        </w:r>
      </w:hyperlink>
      <w:r w:rsidDel="00000000" w:rsidR="00000000" w:rsidRPr="00000000">
        <w:rPr>
          <w:rtl w:val="0"/>
        </w:rPr>
      </w:r>
    </w:p>
    <w:p w:rsidR="00000000" w:rsidDel="00000000" w:rsidP="00000000" w:rsidRDefault="00000000" w:rsidRPr="00000000" w14:paraId="00000157">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Lecture #8 Economics 181: International Trade The Heckscher-Ohlin Framework, Part II I. Recap from last class, distribution of g, accessed February 17, 2026, </w:t>
      </w:r>
      <w:hyperlink r:id="rId116">
        <w:r w:rsidDel="00000000" w:rsidR="00000000" w:rsidRPr="00000000">
          <w:rPr>
            <w:rFonts w:ascii="Google Sans" w:cs="Google Sans" w:eastAsia="Google Sans" w:hAnsi="Google Sans"/>
            <w:color w:val="0000ee"/>
            <w:sz w:val="24"/>
            <w:szCs w:val="24"/>
            <w:u w:val="single"/>
            <w:rtl w:val="0"/>
          </w:rPr>
          <w:t xml:space="preserve">https://eml.berkeley.edu/~webfac/harrison/e181_f06/lecture8.pdf</w:t>
        </w:r>
      </w:hyperlink>
      <w:r w:rsidDel="00000000" w:rsidR="00000000" w:rsidRPr="00000000">
        <w:rPr>
          <w:rtl w:val="0"/>
        </w:rPr>
      </w:r>
    </w:p>
    <w:p w:rsidR="00000000" w:rsidDel="00000000" w:rsidP="00000000" w:rsidRDefault="00000000" w:rsidRPr="00000000" w14:paraId="00000158">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Statement I: The Rybczynski theorem postulates that at const - Testbook, accessed February 17, 2026, </w:t>
      </w:r>
      <w:hyperlink r:id="rId117">
        <w:r w:rsidDel="00000000" w:rsidR="00000000" w:rsidRPr="00000000">
          <w:rPr>
            <w:rFonts w:ascii="Google Sans" w:cs="Google Sans" w:eastAsia="Google Sans" w:hAnsi="Google Sans"/>
            <w:color w:val="0000ee"/>
            <w:sz w:val="24"/>
            <w:szCs w:val="24"/>
            <w:u w:val="single"/>
            <w:rtl w:val="0"/>
          </w:rPr>
          <w:t xml:space="preserve">https://testbook.com/question-answer/statement-i-the-rybczynski-theorem-postulates-tha--62d3ed461a0b2060247b4e7f</w:t>
        </w:r>
      </w:hyperlink>
      <w:r w:rsidDel="00000000" w:rsidR="00000000" w:rsidRPr="00000000">
        <w:rPr>
          <w:rtl w:val="0"/>
        </w:rPr>
      </w:r>
    </w:p>
    <w:p w:rsidR="00000000" w:rsidDel="00000000" w:rsidP="00000000" w:rsidRDefault="00000000" w:rsidRPr="00000000" w14:paraId="00000159">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Overview, accessed February 17, 2026, </w:t>
      </w:r>
      <w:hyperlink r:id="rId118">
        <w:r w:rsidDel="00000000" w:rsidR="00000000" w:rsidRPr="00000000">
          <w:rPr>
            <w:rFonts w:ascii="Google Sans" w:cs="Google Sans" w:eastAsia="Google Sans" w:hAnsi="Google Sans"/>
            <w:color w:val="0000ee"/>
            <w:sz w:val="24"/>
            <w:szCs w:val="24"/>
            <w:u w:val="single"/>
            <w:rtl w:val="0"/>
          </w:rPr>
          <w:t xml:space="preserve">https://saylordotorg.github.io/text_international-trade-theory-and-policy/s08-01-chapter-overview.html</w:t>
        </w:r>
      </w:hyperlink>
      <w:r w:rsidDel="00000000" w:rsidR="00000000" w:rsidRPr="00000000">
        <w:rPr>
          <w:rtl w:val="0"/>
        </w:rPr>
      </w:r>
    </w:p>
    <w:p w:rsidR="00000000" w:rsidDel="00000000" w:rsidP="00000000" w:rsidRDefault="00000000" w:rsidRPr="00000000" w14:paraId="0000015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New trade theory - Wikipedia, accessed February 17, 2026, </w:t>
      </w:r>
      <w:hyperlink r:id="rId119">
        <w:r w:rsidDel="00000000" w:rsidR="00000000" w:rsidRPr="00000000">
          <w:rPr>
            <w:rFonts w:ascii="Google Sans" w:cs="Google Sans" w:eastAsia="Google Sans" w:hAnsi="Google Sans"/>
            <w:color w:val="0000ee"/>
            <w:sz w:val="24"/>
            <w:szCs w:val="24"/>
            <w:u w:val="single"/>
            <w:rtl w:val="0"/>
          </w:rPr>
          <w:t xml:space="preserve">https://en.wikipedia.org/wiki/New_trade_theory</w:t>
        </w:r>
      </w:hyperlink>
      <w:r w:rsidDel="00000000" w:rsidR="00000000" w:rsidRPr="00000000">
        <w:rPr>
          <w:rtl w:val="0"/>
        </w:rPr>
      </w:r>
    </w:p>
    <w:p w:rsidR="00000000" w:rsidDel="00000000" w:rsidP="00000000" w:rsidRDefault="00000000" w:rsidRPr="00000000" w14:paraId="0000015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Prize Lecture by Paul Krugman, accessed February 17, 2026, </w:t>
      </w:r>
      <w:hyperlink r:id="rId120">
        <w:r w:rsidDel="00000000" w:rsidR="00000000" w:rsidRPr="00000000">
          <w:rPr>
            <w:rFonts w:ascii="Google Sans" w:cs="Google Sans" w:eastAsia="Google Sans" w:hAnsi="Google Sans"/>
            <w:color w:val="0000ee"/>
            <w:sz w:val="24"/>
            <w:szCs w:val="24"/>
            <w:u w:val="single"/>
            <w:rtl w:val="0"/>
          </w:rPr>
          <w:t xml:space="preserve">https://www.nobelprize.org/uploads/2018/06/krugman_lecture.pdf</w:t>
        </w:r>
      </w:hyperlink>
      <w:r w:rsidDel="00000000" w:rsidR="00000000" w:rsidRPr="00000000">
        <w:rPr>
          <w:rtl w:val="0"/>
        </w:rPr>
      </w:r>
    </w:p>
    <w:p w:rsidR="00000000" w:rsidDel="00000000" w:rsidP="00000000" w:rsidRDefault="00000000" w:rsidRPr="00000000" w14:paraId="0000015C">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Technology Gap and Product Cycle Model | PDF | Economies Of Scale - Scribd, accessed February 17, 2026, </w:t>
      </w:r>
      <w:hyperlink r:id="rId121">
        <w:r w:rsidDel="00000000" w:rsidR="00000000" w:rsidRPr="00000000">
          <w:rPr>
            <w:rFonts w:ascii="Google Sans" w:cs="Google Sans" w:eastAsia="Google Sans" w:hAnsi="Google Sans"/>
            <w:color w:val="0000ee"/>
            <w:sz w:val="24"/>
            <w:szCs w:val="24"/>
            <w:u w:val="single"/>
            <w:rtl w:val="0"/>
          </w:rPr>
          <w:t xml:space="preserve">https://www.scribd.com/document/793425152/Technology-gap-and-Product-Cycle-model</w:t>
        </w:r>
      </w:hyperlink>
      <w:r w:rsidDel="00000000" w:rsidR="00000000" w:rsidRPr="00000000">
        <w:rPr>
          <w:rtl w:val="0"/>
        </w:rPr>
      </w:r>
    </w:p>
    <w:p w:rsidR="00000000" w:rsidDel="00000000" w:rsidP="00000000" w:rsidRDefault="00000000" w:rsidRPr="00000000" w14:paraId="0000015D">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6.5 Trade Based on Dynamic Technological Differences, accessed February 17, 2026, </w:t>
      </w:r>
      <w:hyperlink r:id="rId122">
        <w:r w:rsidDel="00000000" w:rsidR="00000000" w:rsidRPr="00000000">
          <w:rPr>
            <w:rFonts w:ascii="Google Sans" w:cs="Google Sans" w:eastAsia="Google Sans" w:hAnsi="Google Sans"/>
            <w:color w:val="0000ee"/>
            <w:sz w:val="24"/>
            <w:szCs w:val="24"/>
            <w:u w:val="single"/>
            <w:rtl w:val="0"/>
          </w:rPr>
          <w:t xml:space="preserve">https://igulms.iqdigit.com/storage/16373/Trade-Based-on-Technological-Differences.pdf</w:t>
        </w:r>
      </w:hyperlink>
      <w:r w:rsidDel="00000000" w:rsidR="00000000" w:rsidRPr="00000000">
        <w:rPr>
          <w:rtl w:val="0"/>
        </w:rPr>
      </w:r>
    </w:p>
    <w:p w:rsidR="00000000" w:rsidDel="00000000" w:rsidP="00000000" w:rsidRDefault="00000000" w:rsidRPr="00000000" w14:paraId="0000015E">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Innovation and Trade Technology gap and the product-cycle hypothesis, accessed February 17, 2026, </w:t>
      </w:r>
      <w:hyperlink r:id="rId123">
        <w:r w:rsidDel="00000000" w:rsidR="00000000" w:rsidRPr="00000000">
          <w:rPr>
            <w:rFonts w:ascii="Google Sans" w:cs="Google Sans" w:eastAsia="Google Sans" w:hAnsi="Google Sans"/>
            <w:color w:val="0000ee"/>
            <w:sz w:val="24"/>
            <w:szCs w:val="24"/>
            <w:u w:val="single"/>
            <w:rtl w:val="0"/>
          </w:rPr>
          <w:t xml:space="preserve">https://www.dse.univr.it/documenti/OccorrenzaIns/matdid/matdid056112.pdf</w:t>
        </w:r>
      </w:hyperlink>
      <w:r w:rsidDel="00000000" w:rsidR="00000000" w:rsidRPr="00000000">
        <w:rPr>
          <w:rtl w:val="0"/>
        </w:rPr>
      </w:r>
    </w:p>
    <w:p w:rsidR="00000000" w:rsidDel="00000000" w:rsidP="00000000" w:rsidRDefault="00000000" w:rsidRPr="00000000" w14:paraId="0000015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New Trade Theory - Economics Help, accessed February 17, 2026, </w:t>
      </w:r>
      <w:hyperlink r:id="rId124">
        <w:r w:rsidDel="00000000" w:rsidR="00000000" w:rsidRPr="00000000">
          <w:rPr>
            <w:rFonts w:ascii="Google Sans" w:cs="Google Sans" w:eastAsia="Google Sans" w:hAnsi="Google Sans"/>
            <w:color w:val="0000ee"/>
            <w:sz w:val="24"/>
            <w:szCs w:val="24"/>
            <w:u w:val="single"/>
            <w:rtl w:val="0"/>
          </w:rPr>
          <w:t xml:space="preserve">https://www.economicshelp.org/blog/6957/trade/new-trade-theory/</w:t>
        </w:r>
      </w:hyperlink>
      <w:r w:rsidDel="00000000" w:rsidR="00000000" w:rsidRPr="00000000">
        <w:rPr>
          <w:rtl w:val="0"/>
        </w:rPr>
      </w:r>
    </w:p>
    <w:p w:rsidR="00000000" w:rsidDel="00000000" w:rsidP="00000000" w:rsidRDefault="00000000" w:rsidRPr="00000000" w14:paraId="0000016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ELI5: Krugman's new trade theory : r/AskEconomics - Reddit, accessed February 17, 2026, </w:t>
      </w:r>
      <w:hyperlink r:id="rId125">
        <w:r w:rsidDel="00000000" w:rsidR="00000000" w:rsidRPr="00000000">
          <w:rPr>
            <w:rFonts w:ascii="Google Sans" w:cs="Google Sans" w:eastAsia="Google Sans" w:hAnsi="Google Sans"/>
            <w:color w:val="0000ee"/>
            <w:sz w:val="24"/>
            <w:szCs w:val="24"/>
            <w:u w:val="single"/>
            <w:rtl w:val="0"/>
          </w:rPr>
          <w:t xml:space="preserve">https://www.reddit.com/r/AskEconomics/comments/52qf1y/eli5_krugmans_new_trade_theory/</w:t>
        </w:r>
      </w:hyperlink>
      <w:r w:rsidDel="00000000" w:rsidR="00000000" w:rsidRPr="00000000">
        <w:rPr>
          <w:rtl w:val="0"/>
        </w:rPr>
      </w:r>
    </w:p>
    <w:p w:rsidR="00000000" w:rsidDel="00000000" w:rsidP="00000000" w:rsidRDefault="00000000" w:rsidRPr="00000000" w14:paraId="0000016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Gravity model of trade - Wikipedia, accessed February 17, 2026, </w:t>
      </w:r>
      <w:hyperlink r:id="rId126">
        <w:r w:rsidDel="00000000" w:rsidR="00000000" w:rsidRPr="00000000">
          <w:rPr>
            <w:rFonts w:ascii="Google Sans" w:cs="Google Sans" w:eastAsia="Google Sans" w:hAnsi="Google Sans"/>
            <w:color w:val="0000ee"/>
            <w:sz w:val="24"/>
            <w:szCs w:val="24"/>
            <w:u w:val="single"/>
            <w:rtl w:val="0"/>
          </w:rPr>
          <w:t xml:space="preserve">https://en.wikipedia.org/wiki/Gravity_model_of_trade</w:t>
        </w:r>
      </w:hyperlink>
      <w:r w:rsidDel="00000000" w:rsidR="00000000" w:rsidRPr="00000000">
        <w:rPr>
          <w:rtl w:val="0"/>
        </w:rPr>
      </w:r>
    </w:p>
    <w:p w:rsidR="00000000" w:rsidDel="00000000" w:rsidP="00000000" w:rsidRDefault="00000000" w:rsidRPr="00000000" w14:paraId="00000162">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gravity model: What does the data say about international trade and distance between countries? - Iberglobal, accessed February 17, 2026, </w:t>
      </w:r>
      <w:hyperlink r:id="rId127">
        <w:r w:rsidDel="00000000" w:rsidR="00000000" w:rsidRPr="00000000">
          <w:rPr>
            <w:rFonts w:ascii="Google Sans" w:cs="Google Sans" w:eastAsia="Google Sans" w:hAnsi="Google Sans"/>
            <w:color w:val="0000ee"/>
            <w:sz w:val="24"/>
            <w:szCs w:val="24"/>
            <w:u w:val="single"/>
            <w:rtl w:val="0"/>
          </w:rPr>
          <w:t xml:space="preserve">http://www.iberglobal.com/files/2018/pwc-the-gravity-model.pdf</w:t>
        </w:r>
      </w:hyperlink>
      <w:r w:rsidDel="00000000" w:rsidR="00000000" w:rsidRPr="00000000">
        <w:rPr>
          <w:rtl w:val="0"/>
        </w:rPr>
      </w:r>
    </w:p>
    <w:p w:rsidR="00000000" w:rsidDel="00000000" w:rsidP="00000000" w:rsidRDefault="00000000" w:rsidRPr="00000000" w14:paraId="00000163">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 Agent Based Model of Monopolistic Competition in International Trade with Emerging Firm Heterogeneity - JASSS, accessed February 17, 2026, </w:t>
      </w:r>
      <w:hyperlink r:id="rId128">
        <w:r w:rsidDel="00000000" w:rsidR="00000000" w:rsidRPr="00000000">
          <w:rPr>
            <w:rFonts w:ascii="Google Sans" w:cs="Google Sans" w:eastAsia="Google Sans" w:hAnsi="Google Sans"/>
            <w:color w:val="0000ee"/>
            <w:sz w:val="24"/>
            <w:szCs w:val="24"/>
            <w:u w:val="single"/>
            <w:rtl w:val="0"/>
          </w:rPr>
          <w:t xml:space="preserve">https://www.jasss.org/16/2/7.html</w:t>
        </w:r>
      </w:hyperlink>
      <w:r w:rsidDel="00000000" w:rsidR="00000000" w:rsidRPr="00000000">
        <w:rPr>
          <w:rtl w:val="0"/>
        </w:rPr>
      </w:r>
    </w:p>
    <w:p w:rsidR="00000000" w:rsidDel="00000000" w:rsidP="00000000" w:rsidRDefault="00000000" w:rsidRPr="00000000" w14:paraId="00000164">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14.582 International Trade — Lecture 3: Firm Heterogeneity (Theory I) — - Dave Donaldson, accessed February 17, 2026, </w:t>
      </w:r>
      <w:hyperlink r:id="rId129">
        <w:r w:rsidDel="00000000" w:rsidR="00000000" w:rsidRPr="00000000">
          <w:rPr>
            <w:rFonts w:ascii="Google Sans" w:cs="Google Sans" w:eastAsia="Google Sans" w:hAnsi="Google Sans"/>
            <w:color w:val="0000ee"/>
            <w:sz w:val="24"/>
            <w:szCs w:val="24"/>
            <w:u w:val="single"/>
            <w:rtl w:val="0"/>
          </w:rPr>
          <w:t xml:space="preserve">https://dave-donaldson.com/wp-content/uploads/Lecture-3-Firm-heterogeneity-theory-I.pdf</w:t>
        </w:r>
      </w:hyperlink>
      <w:r w:rsidDel="00000000" w:rsidR="00000000" w:rsidRPr="00000000">
        <w:rPr>
          <w:rtl w:val="0"/>
        </w:rPr>
      </w:r>
    </w:p>
    <w:p w:rsidR="00000000" w:rsidDel="00000000" w:rsidP="00000000" w:rsidRDefault="00000000" w:rsidRPr="00000000" w14:paraId="00000165">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Trade and Prices in the Melitz Model - UC Berkeley, accessed February 17, 2026, </w:t>
      </w:r>
      <w:hyperlink r:id="rId130">
        <w:r w:rsidDel="00000000" w:rsidR="00000000" w:rsidRPr="00000000">
          <w:rPr>
            <w:rFonts w:ascii="Google Sans" w:cs="Google Sans" w:eastAsia="Google Sans" w:hAnsi="Google Sans"/>
            <w:color w:val="0000ee"/>
            <w:sz w:val="24"/>
            <w:szCs w:val="24"/>
            <w:u w:val="single"/>
            <w:rtl w:val="0"/>
          </w:rPr>
          <w:t xml:space="preserve">https://eml.berkeley.edu/~webfac/gourinchas/e281_f07/johnson.pdf</w:t>
        </w:r>
      </w:hyperlink>
      <w:r w:rsidDel="00000000" w:rsidR="00000000" w:rsidRPr="00000000">
        <w:rPr>
          <w:rtl w:val="0"/>
        </w:rPr>
      </w:r>
    </w:p>
    <w:p w:rsidR="00000000" w:rsidDel="00000000" w:rsidP="00000000" w:rsidRDefault="00000000" w:rsidRPr="00000000" w14:paraId="00000166">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International Economics I - 5pt Firm Heterogeneity (The Melitz Model), accessed February 17, 2026, </w:t>
      </w:r>
      <w:hyperlink r:id="rId131">
        <w:r w:rsidDel="00000000" w:rsidR="00000000" w:rsidRPr="00000000">
          <w:rPr>
            <w:rFonts w:ascii="Google Sans" w:cs="Google Sans" w:eastAsia="Google Sans" w:hAnsi="Google Sans"/>
            <w:color w:val="0000ee"/>
            <w:sz w:val="24"/>
            <w:szCs w:val="24"/>
            <w:u w:val="single"/>
            <w:rtl w:val="0"/>
          </w:rPr>
          <w:t xml:space="preserve">https://tomasrm.github.io/teaching/internationalecon1/6_melitz.pdf</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scribd.com/document/640184118/De-industrialization-assignment" TargetMode="External"/><Relationship Id="rId42" Type="http://schemas.openxmlformats.org/officeDocument/2006/relationships/hyperlink" Target="https://testbook.com/question-answer/who-rejected-deindustrialization-and-claimed-a-sig--63df6fa4d2fa3185a6e6d1d6" TargetMode="External"/><Relationship Id="rId41" Type="http://schemas.openxmlformats.org/officeDocument/2006/relationships/hyperlink" Target="https://egyankosh.ac.in/bitstream/123456789/44593/1/Unit-34.pdf" TargetMode="External"/><Relationship Id="rId44" Type="http://schemas.openxmlformats.org/officeDocument/2006/relationships/hyperlink" Target="https://bbejournal.com/BBE/article/download/788/749/1779" TargetMode="External"/><Relationship Id="rId43" Type="http://schemas.openxmlformats.org/officeDocument/2006/relationships/hyperlink" Target="https://www.monash.edu/__data/assets/pdf_file/0011/3417473/2021-01.pdf" TargetMode="External"/><Relationship Id="rId46" Type="http://schemas.openxmlformats.org/officeDocument/2006/relationships/hyperlink" Target="https://ijcrt.org/papers/IJCRT2112148.pdf" TargetMode="External"/><Relationship Id="rId45" Type="http://schemas.openxmlformats.org/officeDocument/2006/relationships/hyperlink" Target="https://www.environmentandsociety.org/exhibitions/famines-india/infrastructure-and-railroads" TargetMode="External"/><Relationship Id="rId107" Type="http://schemas.openxmlformats.org/officeDocument/2006/relationships/hyperlink" Target="https://www.wifa.uni-leipzig.de/fileadmin/Fakult%C3%A4t_Wifa/Institut_f%C3%BCr_Wirtschaftspolitik/Studium/Sommer/23/International_Economics/3._Trade_Theory.pdf" TargetMode="External"/><Relationship Id="rId106" Type="http://schemas.openxmlformats.org/officeDocument/2006/relationships/hyperlink" Target="https://plutusias.com/old-and-new-theories-of-international-trade/" TargetMode="External"/><Relationship Id="rId105" Type="http://schemas.openxmlformats.org/officeDocument/2006/relationships/hyperlink" Target="https://www.cag.edu.tr/uploads/site/lecturer-files/summary-hfst-6-international-trade-theory-xsGY.docx" TargetMode="External"/><Relationship Id="rId104" Type="http://schemas.openxmlformats.org/officeDocument/2006/relationships/hyperlink" Target="https://en.wikipedia.org/wiki/Equity_(economics)" TargetMode="External"/><Relationship Id="rId109" Type="http://schemas.openxmlformats.org/officeDocument/2006/relationships/hyperlink" Target="https://analystprep.com/cfa-level-1-exam/economics/ricardian-heckscher-ohlin-models-trade/" TargetMode="External"/><Relationship Id="rId108" Type="http://schemas.openxmlformats.org/officeDocument/2006/relationships/hyperlink" Target="https://blog.ipleaders.in/modern-theory-of-international-trade/" TargetMode="External"/><Relationship Id="rId48" Type="http://schemas.openxmlformats.org/officeDocument/2006/relationships/hyperlink" Target="https://thebhc.org/abstract/82993" TargetMode="External"/><Relationship Id="rId47" Type="http://schemas.openxmlformats.org/officeDocument/2006/relationships/hyperlink" Target="https://www.loretocollege.in/AQAR/2.5.1_2223.pdf" TargetMode="External"/><Relationship Id="rId49" Type="http://schemas.openxmlformats.org/officeDocument/2006/relationships/hyperlink" Target="https://www.nber.org/system/files/working_papers/w27178/revisions/w27178.rev0.pdf" TargetMode="External"/><Relationship Id="rId103" Type="http://schemas.openxmlformats.org/officeDocument/2006/relationships/hyperlink" Target="https://www.urban.org/sites/default/files/publication/71101/1000533-Horizontal-Equity.PDF" TargetMode="External"/><Relationship Id="rId102" Type="http://schemas.openxmlformats.org/officeDocument/2006/relationships/hyperlink" Target="https://apps.irs.gov/app/understandingTaxes/student/whys_thm04_les03.jsp" TargetMode="External"/><Relationship Id="rId101" Type="http://schemas.openxmlformats.org/officeDocument/2006/relationships/hyperlink" Target="https://laurentsimula.wordpress.com/wp-content/uploads/2017/12/ens-chapter-4-public-economics.pdf" TargetMode="External"/><Relationship Id="rId100" Type="http://schemas.openxmlformats.org/officeDocument/2006/relationships/hyperlink" Target="https://www.urban.org/sites/default/files/publication/69521/1000539-optimal-taxation.pdf" TargetMode="External"/><Relationship Id="rId31" Type="http://schemas.openxmlformats.org/officeDocument/2006/relationships/hyperlink" Target="https://www.vedantu.com/general-knowledge/famine-commissions-during-british-rule-in-india" TargetMode="External"/><Relationship Id="rId30" Type="http://schemas.openxmlformats.org/officeDocument/2006/relationships/hyperlink" Target="https://www.researchgate.net/publication/368358256_Deindustrialisation_and_Commercialisation_of_Agriculture_An_Economic_Critique_of_Colonial_Rule_in_India" TargetMode="External"/><Relationship Id="rId33" Type="http://schemas.openxmlformats.org/officeDocument/2006/relationships/hyperlink" Target="https://compass.rauias.com/modern-history/famine-commissions-india/" TargetMode="External"/><Relationship Id="rId32" Type="http://schemas.openxmlformats.org/officeDocument/2006/relationships/hyperlink" Target="https://askfilo.com/user-question-answers-smart-solutions/which-of-the-following-commissions-recommended-the-3430323334313834" TargetMode="External"/><Relationship Id="rId35" Type="http://schemas.openxmlformats.org/officeDocument/2006/relationships/hyperlink" Target="https://testbook.com/question-answer/when-was-the-famine-commission-under-the-chairmans--5ffd9df6e1ecaa7312ca567e" TargetMode="External"/><Relationship Id="rId34" Type="http://schemas.openxmlformats.org/officeDocument/2006/relationships/hyperlink" Target="https://testbook.com/question-answer/famine-code-was-prepared-in-1883-on-the--694f0a67de5a555b0eea8661" TargetMode="External"/><Relationship Id="rId37" Type="http://schemas.openxmlformats.org/officeDocument/2006/relationships/hyperlink" Target="https://en.wikipedia.org/wiki/Famine_Inquiry_Commission" TargetMode="External"/><Relationship Id="rId36" Type="http://schemas.openxmlformats.org/officeDocument/2006/relationships/hyperlink" Target="https://www.gktoday.in/macdonnell-commission/" TargetMode="External"/><Relationship Id="rId39" Type="http://schemas.openxmlformats.org/officeDocument/2006/relationships/hyperlink" Target="https://prepp.in/question/who-rejected-deindustrialization-and-claimed-a-sig-642ab5a4608c092a4cab43af" TargetMode="External"/><Relationship Id="rId38" Type="http://schemas.openxmlformats.org/officeDocument/2006/relationships/hyperlink" Target="https://www.deshbandhucollege.ac.in/pdf/resources/1585676262_HS(H)-VI-lec7.pdf" TargetMode="External"/><Relationship Id="rId20" Type="http://schemas.openxmlformats.org/officeDocument/2006/relationships/hyperlink" Target="https://byjus.com/commerce/occupational-structure/#:~:text=Agriculture%20was%20the%20principal%20source,15%2D20%25%20%2C%20respectively." TargetMode="External"/><Relationship Id="rId22" Type="http://schemas.openxmlformats.org/officeDocument/2006/relationships/hyperlink" Target="https://documents1.worldbank.org/curated/en/482781468268489222/pdf/Theevolution-of-labour-markets-in-India-1857-1947.pdf" TargetMode="External"/><Relationship Id="rId21" Type="http://schemas.openxmlformats.org/officeDocument/2006/relationships/hyperlink" Target="https://ijtbm.com/admin/upload/06%20Dr.%20Suhasini%20Parashar%2001297.pdf" TargetMode="External"/><Relationship Id="rId24" Type="http://schemas.openxmlformats.org/officeDocument/2006/relationships/hyperlink" Target="https://testbook.com/ias-preparation/land-revenue-system-in-india-upsc-notes" TargetMode="External"/><Relationship Id="rId23" Type="http://schemas.openxmlformats.org/officeDocument/2006/relationships/hyperlink" Target="https://vajiramandravi.com/upsc-exam/land-revenue-system-in-british-india/" TargetMode="External"/><Relationship Id="rId129" Type="http://schemas.openxmlformats.org/officeDocument/2006/relationships/hyperlink" Target="https://dave-donaldson.com/wp-content/uploads/Lecture-3-Firm-heterogeneity-theory-I.pdf" TargetMode="External"/><Relationship Id="rId128" Type="http://schemas.openxmlformats.org/officeDocument/2006/relationships/hyperlink" Target="https://www.jasss.org/16/2/7.html" TargetMode="External"/><Relationship Id="rId127" Type="http://schemas.openxmlformats.org/officeDocument/2006/relationships/hyperlink" Target="http://www.iberglobal.com/files/2018/pwc-the-gravity-model.pdf" TargetMode="External"/><Relationship Id="rId126" Type="http://schemas.openxmlformats.org/officeDocument/2006/relationships/hyperlink" Target="https://en.wikipedia.org/wiki/Gravity_model_of_trade" TargetMode="External"/><Relationship Id="rId26" Type="http://schemas.openxmlformats.org/officeDocument/2006/relationships/hyperlink" Target="https://www.vajiraoinstitute.com/upsc-ias-current-affairs/land-revenue-system-in-british-india.aspx" TargetMode="External"/><Relationship Id="rId121" Type="http://schemas.openxmlformats.org/officeDocument/2006/relationships/hyperlink" Target="https://www.scribd.com/document/793425152/Technology-gap-and-Product-Cycle-model" TargetMode="External"/><Relationship Id="rId25" Type="http://schemas.openxmlformats.org/officeDocument/2006/relationships/hyperlink" Target="https://www.drishtiias.com/to-the-points/paper1/land-revenue-systems-in-british-india" TargetMode="External"/><Relationship Id="rId120" Type="http://schemas.openxmlformats.org/officeDocument/2006/relationships/hyperlink" Target="https://www.nobelprize.org/uploads/2018/06/krugman_lecture.pdf" TargetMode="External"/><Relationship Id="rId28" Type="http://schemas.openxmlformats.org/officeDocument/2006/relationships/hyperlink" Target="https://www.iosrjournals.org/iosr-jhss/papers/Vol2-issue4/D0241626.pdf" TargetMode="External"/><Relationship Id="rId27" Type="http://schemas.openxmlformats.org/officeDocument/2006/relationships/hyperlink" Target="https://byjus.com/free-ias-prep/ncert-notes-ryotwari-and-mahalwari-systems-of-land-revenue/" TargetMode="External"/><Relationship Id="rId125" Type="http://schemas.openxmlformats.org/officeDocument/2006/relationships/hyperlink" Target="https://www.reddit.com/r/AskEconomics/comments/52qf1y/eli5_krugmans_new_trade_theory/" TargetMode="External"/><Relationship Id="rId29" Type="http://schemas.openxmlformats.org/officeDocument/2006/relationships/hyperlink" Target="https://www.clearias.com/land-revenue-systems-zamindari-ryotwari-mahalwari/" TargetMode="External"/><Relationship Id="rId124" Type="http://schemas.openxmlformats.org/officeDocument/2006/relationships/hyperlink" Target="https://www.economicshelp.org/blog/6957/trade/new-trade-theory/" TargetMode="External"/><Relationship Id="rId123" Type="http://schemas.openxmlformats.org/officeDocument/2006/relationships/hyperlink" Target="https://www.dse.univr.it/documenti/OccorrenzaIns/matdid/matdid056112.pdf" TargetMode="External"/><Relationship Id="rId122" Type="http://schemas.openxmlformats.org/officeDocument/2006/relationships/hyperlink" Target="https://igulms.iqdigit.com/storage/16373/Trade-Based-on-Technological-Differences.pdf" TargetMode="External"/><Relationship Id="rId95" Type="http://schemas.openxmlformats.org/officeDocument/2006/relationships/hyperlink" Target="https://www.icra.in/Research/ViewResearchReport/6763#:~:text=Further%2C%20the%2016th%20FC%20replaced,economic%20management%2C%20in%20ICRA's%20view." TargetMode="External"/><Relationship Id="rId94" Type="http://schemas.openxmlformats.org/officeDocument/2006/relationships/hyperlink" Target="https://ajmaliasacademy.in/16th-finance-commission-the-equity-efficiency-balance/" TargetMode="External"/><Relationship Id="rId97" Type="http://schemas.openxmlformats.org/officeDocument/2006/relationships/hyperlink" Target="https://gspp.berkeley.edu/assets/uploads/courses/notes/Lec2-DWL-Optimal-Tax.pdf" TargetMode="External"/><Relationship Id="rId96" Type="http://schemas.openxmlformats.org/officeDocument/2006/relationships/hyperlink" Target="https://www.policycircle.org/policy/16th-finance-commission-tax-devolution/" TargetMode="External"/><Relationship Id="rId11" Type="http://schemas.openxmlformats.org/officeDocument/2006/relationships/hyperlink" Target="https://www.youtube.com/shorts/Mb4FbZ6L2DM" TargetMode="External"/><Relationship Id="rId99" Type="http://schemas.openxmlformats.org/officeDocument/2006/relationships/hyperlink" Target="https://stantcheva.scholars.harvard.edu/file_url/422" TargetMode="External"/><Relationship Id="rId10" Type="http://schemas.openxmlformats.org/officeDocument/2006/relationships/hyperlink" Target="https://lms.edenias.com/blog/gs-articles/national-income" TargetMode="External"/><Relationship Id="rId98" Type="http://schemas.openxmlformats.org/officeDocument/2006/relationships/hyperlink" Target="https://fiveable.me/public-economics/unit-3/efficiency-equity-taxation/study-guide/8QrIak4NYQszVnwu" TargetMode="External"/><Relationship Id="rId13" Type="http://schemas.openxmlformats.org/officeDocument/2006/relationships/hyperlink" Target="https://prepp.in/question/the-notable-estimators-dadabhai-naoroji-william-di-67a476fdfdb92faa6a4ddc71" TargetMode="External"/><Relationship Id="rId12" Type="http://schemas.openxmlformats.org/officeDocument/2006/relationships/hyperlink" Target="https://prsindia.org/theprsblog/more-privatisation-on-the-cards?page=20&amp;per-page=1" TargetMode="External"/><Relationship Id="rId91" Type="http://schemas.openxmlformats.org/officeDocument/2006/relationships/hyperlink" Target="https://www.drishtiias.com/daily-updates/daily-news-analysis/16th-finance-commission-report" TargetMode="External"/><Relationship Id="rId90" Type="http://schemas.openxmlformats.org/officeDocument/2006/relationships/hyperlink" Target="https://vaidsics.com/blog/the-16th-finance-commission-202631-rewriting-indias-fiscal-federalism" TargetMode="External"/><Relationship Id="rId93" Type="http://schemas.openxmlformats.org/officeDocument/2006/relationships/hyperlink" Target="https://www.shankariasparliament.com/current-affairs/mains-analysis/sixteenth-finance-commission-the-gain-to-the-states-and-their-demands" TargetMode="External"/><Relationship Id="rId92" Type="http://schemas.openxmlformats.org/officeDocument/2006/relationships/hyperlink" Target="https://www.insightsonindia.com/2026/02/02/summary-of-the-16th-finance-commission/" TargetMode="External"/><Relationship Id="rId118" Type="http://schemas.openxmlformats.org/officeDocument/2006/relationships/hyperlink" Target="https://saylordotorg.github.io/text_international-trade-theory-and-policy/s08-01-chapter-overview.html" TargetMode="External"/><Relationship Id="rId117" Type="http://schemas.openxmlformats.org/officeDocument/2006/relationships/hyperlink" Target="https://testbook.com/question-answer/statement-i-the-rybczynski-theorem-postulates-tha--62d3ed461a0b2060247b4e7f" TargetMode="External"/><Relationship Id="rId116" Type="http://schemas.openxmlformats.org/officeDocument/2006/relationships/hyperlink" Target="https://eml.berkeley.edu/~webfac/harrison/e181_f06/lecture8.pdf" TargetMode="External"/><Relationship Id="rId115" Type="http://schemas.openxmlformats.org/officeDocument/2006/relationships/hyperlink" Target="https://en.wikipedia.org/wiki/Stolper%E2%80%93Samuelson_theorem" TargetMode="External"/><Relationship Id="rId119" Type="http://schemas.openxmlformats.org/officeDocument/2006/relationships/hyperlink" Target="https://en.wikipedia.org/wiki/New_trade_theory" TargetMode="External"/><Relationship Id="rId15" Type="http://schemas.openxmlformats.org/officeDocument/2006/relationships/hyperlink" Target="https://srapcollege.co.in/sites/default/files/National%20Income.pdf" TargetMode="External"/><Relationship Id="rId110" Type="http://schemas.openxmlformats.org/officeDocument/2006/relationships/hyperlink" Target="https://saylordotorg.github.io/text_international-trade-theory-and-policy/s05-the-ricardian-theory-of-compar.html" TargetMode="External"/><Relationship Id="rId14" Type="http://schemas.openxmlformats.org/officeDocument/2006/relationships/hyperlink" Target="https://www.yourarticlelibrary.com/economics/national-income/national-income-estimates-in-india/62829" TargetMode="External"/><Relationship Id="rId17" Type="http://schemas.openxmlformats.org/officeDocument/2006/relationships/hyperlink" Target="https://socio.health/population-studies-introduction/steady-population-growth-india-1921-1951/" TargetMode="External"/><Relationship Id="rId16" Type="http://schemas.openxmlformats.org/officeDocument/2006/relationships/hyperlink" Target="https://testbook.com/question-answer/some-indian-economists-attempted-to-measure-india--5ed79d7ff60d5d15fec80a4a" TargetMode="External"/><Relationship Id="rId19" Type="http://schemas.openxmlformats.org/officeDocument/2006/relationships/hyperlink" Target="https://www.gktoday.in/question/which-among-the-following-is-called-the-year-of-th" TargetMode="External"/><Relationship Id="rId114" Type="http://schemas.openxmlformats.org/officeDocument/2006/relationships/hyperlink" Target="https://saylordotorg.github.io/text_international-trade-theory-and-policy/s08-the-heckscher-ohlin-factor-pro.html" TargetMode="External"/><Relationship Id="rId18" Type="http://schemas.openxmlformats.org/officeDocument/2006/relationships/hyperlink" Target="https://testbook.com/question-answer/which-is-the-year-of-great-divide-in-the--678a6d7e9828324feb831d44" TargetMode="External"/><Relationship Id="rId113" Type="http://schemas.openxmlformats.org/officeDocument/2006/relationships/hyperlink" Target="https://en.wikipedia.org/wiki/Heckscher%E2%80%93Ohlin_model" TargetMode="External"/><Relationship Id="rId112" Type="http://schemas.openxmlformats.org/officeDocument/2006/relationships/hyperlink" Target="https://www.scribd.com/document/893951760/History-and-Definitions-of-Offer-Curve" TargetMode="External"/><Relationship Id="rId111" Type="http://schemas.openxmlformats.org/officeDocument/2006/relationships/hyperlink" Target="https://www.slideshare.net/slideshow/offer-curves-economics/77105111" TargetMode="External"/><Relationship Id="rId84" Type="http://schemas.openxmlformats.org/officeDocument/2006/relationships/hyperlink" Target="https://www.pmfias.com/frbm-act/" TargetMode="External"/><Relationship Id="rId83" Type="http://schemas.openxmlformats.org/officeDocument/2006/relationships/hyperlink" Target="https://testbook.com/ias-preparation/fiscal-responsibility-budget-management" TargetMode="External"/><Relationship Id="rId86" Type="http://schemas.openxmlformats.org/officeDocument/2006/relationships/hyperlink" Target="https://visionias.in/current-affairs/monthly-magazine/2025-09-04/economy/fiscal-responsibility-and-budget-management-frbm-act" TargetMode="External"/><Relationship Id="rId85" Type="http://schemas.openxmlformats.org/officeDocument/2006/relationships/hyperlink" Target="https://cag.gov.in/uploads/download_audit_report/2021/08_Chapter%204-061a4c47f898a56.11553001.pdf" TargetMode="External"/><Relationship Id="rId88" Type="http://schemas.openxmlformats.org/officeDocument/2006/relationships/hyperlink" Target="https://prsindia.org/files/budget/budget_parliament/2026/Union_Budget_Analysis-2026-27.pdf" TargetMode="External"/><Relationship Id="rId87" Type="http://schemas.openxmlformats.org/officeDocument/2006/relationships/hyperlink" Target="https://www.livemint.com/market/stock-market-news/budget-2026-explained-10-key-takeaways-from-finance-minister-nirmala-sitharamans-budget-speech-11769922746280.html" TargetMode="External"/><Relationship Id="rId89" Type="http://schemas.openxmlformats.org/officeDocument/2006/relationships/hyperlink" Target="https://www.pib.gov.in/PressReleasePage.aspx?PRID=2221455&amp;reg=3&amp;lang=1" TargetMode="External"/><Relationship Id="rId80" Type="http://schemas.openxmlformats.org/officeDocument/2006/relationships/hyperlink" Target="https://law.yale.edu/sites/default/files/area/workshop/leo/document/J._Slemrod.pdf" TargetMode="External"/><Relationship Id="rId82" Type="http://schemas.openxmlformats.org/officeDocument/2006/relationships/hyperlink" Target="https://www.pw.live/upsc/exams/frbm-act" TargetMode="External"/><Relationship Id="rId81" Type="http://schemas.openxmlformats.org/officeDocument/2006/relationships/hyperlink" Target="https://en.wikipedia.org/wiki/Public_economic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eadthecompetition.in/GKT/national_income.html" TargetMode="External"/><Relationship Id="rId5" Type="http://schemas.openxmlformats.org/officeDocument/2006/relationships/styles" Target="styles.xml"/><Relationship Id="rId6" Type="http://schemas.openxmlformats.org/officeDocument/2006/relationships/hyperlink" Target="https://rjhssonline.com/HTMLPaper.aspx?Journal=Research+Journal+of+Humanities+and+Social+Sciences;PID%3D2010-1-2-3" TargetMode="External"/><Relationship Id="rId7" Type="http://schemas.openxmlformats.org/officeDocument/2006/relationships/hyperlink" Target="https://cgijeddah.gov.in/web_files/267622636-History-of-Indian-Economy.pdf" TargetMode="External"/><Relationship Id="rId8" Type="http://schemas.openxmlformats.org/officeDocument/2006/relationships/hyperlink" Target="https://www.vedantu.com/question-answer/the-national-income-of-india-was-calculated-first-by-692edf38cdee1b42a99768d7" TargetMode="External"/><Relationship Id="rId73" Type="http://schemas.openxmlformats.org/officeDocument/2006/relationships/hyperlink" Target="https://padhai.ai/economy/economic-survey-2025-26-highlights-pdf" TargetMode="External"/><Relationship Id="rId72" Type="http://schemas.openxmlformats.org/officeDocument/2006/relationships/hyperlink" Target="https://www.pmfias.com/economic-survey-2025-26-highlights/" TargetMode="External"/><Relationship Id="rId75" Type="http://schemas.openxmlformats.org/officeDocument/2006/relationships/hyperlink" Target="https://www.ibef.org/economy/economic-survey-2025-26" TargetMode="External"/><Relationship Id="rId74" Type="http://schemas.openxmlformats.org/officeDocument/2006/relationships/hyperlink" Target="https://www.pib.gov.in/PressReleasePage.aspx?PRID=2220800" TargetMode="External"/><Relationship Id="rId77" Type="http://schemas.openxmlformats.org/officeDocument/2006/relationships/hyperlink" Target="https://prsindia.org/policy/report-summaries/economic-survey-2025-26" TargetMode="External"/><Relationship Id="rId76" Type="http://schemas.openxmlformats.org/officeDocument/2006/relationships/hyperlink" Target="https://www.drishtiias.com/daily-updates/daily-news-analysis/economic-survey-2025-26" TargetMode="External"/><Relationship Id="rId79" Type="http://schemas.openxmlformats.org/officeDocument/2006/relationships/hyperlink" Target="https://www.pib.gov.in/PressReleasePage.aspx?PRID=2219907" TargetMode="External"/><Relationship Id="rId78" Type="http://schemas.openxmlformats.org/officeDocument/2006/relationships/hyperlink" Target="https://www.indiabudget.gov.in/economicsurvey/doc/Infographics%20English.pdf" TargetMode="External"/><Relationship Id="rId71" Type="http://schemas.openxmlformats.org/officeDocument/2006/relationships/hyperlink" Target="https://static.pib.gov.in/WriteReadData/specificdocs/documents/2026/jan/doc2026130774501.pdf" TargetMode="External"/><Relationship Id="rId70" Type="http://schemas.openxmlformats.org/officeDocument/2006/relationships/hyperlink" Target="https://www.ideasforindia.in/topics/social-identity/how-mnrega-reduced-women-s-labour-force-participation" TargetMode="External"/><Relationship Id="rId131" Type="http://schemas.openxmlformats.org/officeDocument/2006/relationships/hyperlink" Target="https://tomasrm.github.io/teaching/internationalecon1/6_melitz.pdf" TargetMode="External"/><Relationship Id="rId130" Type="http://schemas.openxmlformats.org/officeDocument/2006/relationships/hyperlink" Target="https://eml.berkeley.edu/~webfac/gourinchas/e281_f07/johnson.pdf" TargetMode="External"/><Relationship Id="rId62" Type="http://schemas.openxmlformats.org/officeDocument/2006/relationships/hyperlink" Target="https://vajiramandravi.com/upsc-exam/new-economic-policy-1991/" TargetMode="External"/><Relationship Id="rId61" Type="http://schemas.openxmlformats.org/officeDocument/2006/relationships/hyperlink" Target="https://selfstudyhistory.com/2015/10/15/drain-of-wealth/" TargetMode="External"/><Relationship Id="rId64" Type="http://schemas.openxmlformats.org/officeDocument/2006/relationships/hyperlink" Target="https://www.deshapranmahavidyalaya.edu.in/wp-content/uploads/2024/05/37-Rural-Development-in-India-through-Employment-Programmes.pdf" TargetMode="External"/><Relationship Id="rId63" Type="http://schemas.openxmlformats.org/officeDocument/2006/relationships/hyperlink" Target="https://forum.prutor.ai/index.php?threads/how-to-prepare-for-economic-reforms-in-india-for-cuet-ug.13659/" TargetMode="External"/><Relationship Id="rId66" Type="http://schemas.openxmlformats.org/officeDocument/2006/relationships/hyperlink" Target="https://www.rncollegehajipur.in/rn/uploads/products/Anti-poverty%20measures%20and%20Employment%20Generating%20Programmes.pdf" TargetMode="External"/><Relationship Id="rId65" Type="http://schemas.openxmlformats.org/officeDocument/2006/relationships/hyperlink" Target="https://www.jagranjosh.com/general-knowledge/anti-poverty-employment-generation-programmes-in-india-1448531927-1" TargetMode="External"/><Relationship Id="rId68" Type="http://schemas.openxmlformats.org/officeDocument/2006/relationships/hyperlink" Target="https://en.wikipedia.org/wiki/Mahatma_Gandhi_National_Rural_Employment_Guarantee_Act,_2005" TargetMode="External"/><Relationship Id="rId67" Type="http://schemas.openxmlformats.org/officeDocument/2006/relationships/hyperlink" Target="https://edurev.in/t/117140/Rural-Development-Programme--Part--1---Economy-Tra" TargetMode="External"/><Relationship Id="rId60" Type="http://schemas.openxmlformats.org/officeDocument/2006/relationships/hyperlink" Target="https://www.gktoday.in/home-charges-in-british-india/" TargetMode="External"/><Relationship Id="rId69" Type="http://schemas.openxmlformats.org/officeDocument/2006/relationships/hyperlink" Target="https://megsres.nic.in/objective-nrega" TargetMode="External"/><Relationship Id="rId51" Type="http://schemas.openxmlformats.org/officeDocument/2006/relationships/hyperlink" Target="https://thelaw.institute/business-law-as-applicable-to-co-operative-ii/trade-union-act-1926-empowering-workers-fair-labor/" TargetMode="External"/><Relationship Id="rId50" Type="http://schemas.openxmlformats.org/officeDocument/2006/relationships/hyperlink" Target="https://www.scribd.com/document/632920083/POLICY-OF-DISCRIMINATING-PROTECTION-PRC" TargetMode="External"/><Relationship Id="rId53" Type="http://schemas.openxmlformats.org/officeDocument/2006/relationships/hyperlink" Target="https://en.wikipedia.org/wiki/Royal_Commission_on_Labour" TargetMode="External"/><Relationship Id="rId52" Type="http://schemas.openxmlformats.org/officeDocument/2006/relationships/hyperlink" Target="https://ruralindiaonline.org/en/library/resource/the-trade-unions-act-1926/" TargetMode="External"/><Relationship Id="rId55" Type="http://schemas.openxmlformats.org/officeDocument/2006/relationships/hyperlink" Target="https://vajiramandravi.com/upsc-exam/drain-of-wealth-theory/" TargetMode="External"/><Relationship Id="rId54" Type="http://schemas.openxmlformats.org/officeDocument/2006/relationships/hyperlink" Target="https://www.whatishumanresource.com/wages-definition" TargetMode="External"/><Relationship Id="rId57" Type="http://schemas.openxmlformats.org/officeDocument/2006/relationships/hyperlink" Target="https://www.econ.utah.edu/research/publications/2023-01.pdf" TargetMode="External"/><Relationship Id="rId56" Type="http://schemas.openxmlformats.org/officeDocument/2006/relationships/hyperlink" Target="https://monthlyreview.org/articles/the-drain-of-wealth/" TargetMode="External"/><Relationship Id="rId59" Type="http://schemas.openxmlformats.org/officeDocument/2006/relationships/hyperlink" Target="https://testbook.com/question-answer/which-of-the-following-waswere-the-components-of--5f97981ee340be8a35d3a505" TargetMode="External"/><Relationship Id="rId58" Type="http://schemas.openxmlformats.org/officeDocument/2006/relationships/hyperlink" Target="https://www.nextias.com/blog/drain-of-wealth-theor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